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19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el incidente de recusación promovido por el abogado del Estado en el recurso de inconstitucionalidad núm. 6607-2024, interpuesto por el Consejo de Gobierno de La Rioja en relación con la Ley Orgánica 1/2024, de 10 de junio, de amnistía para la normalización institucional, política y social en Cataluña, ha dictado, con ponencia del magistrado don Ricardo Enríquez Sancho,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mediante escrito registrado en este tribunal el 20 de septiembre de 2024, promueve la recusación del magistrado don José María Macías Castaño en el recurso de inconstitucionalidad núm. 6607-2024, interpuesto por el Consejo de Gobierno de La Rioja en relación con la Ley Orgánica 1/2024, de 10 de junio, de amnistía para la normalización institucional, política y social en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con invocación de jurisprudencia de este tribunal y del Tribunal Europeo de Derechos Humanos en relación con el derecho al juez imparcial, sustenta la recusación en la causa 16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6 de noviembre de 2024, consignó que la ponencia del incidente de recusación correspondía por turno de reparto al magistrado don Ricardo Enríquez Sancho.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presente recusación guarda identidad con la inadmitida por ATC 116/2024, de 5 de noviembre, dictado en el recurso de inconstitucionalidad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magistrado don José María Macías Castaño, promovida por el abogado del Estado en el recurso de inconstitucionalidad núm. 6607-2024.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