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943-2024, promovido por doña Ixone Fernández Bustillo, representada por la procuradora de los tribunales doña María Isabel Torres Ruiz y asistida por el letrado don Aritz Tellitu Zabala, contra las resoluciones del Instituto Nacional de la Seguridad Social de 24 de febrero de 2021, de 7 de junio de 2021 y 12 de agosto de 2021, denegatorias de la solicitud de ampliación de la prestación por nacimiento y cuidado de hijo menor como madre biológica de familia monoparental; la sentencia núm. 517/2021, de 2 de diciembre, del Juzgado de lo Social núm. 3 de Bilbao, autos núm. 933-2021, que estimó parcialmente la demanda de la señora Fernández reconociéndole el derecho a complementar la prestación de maternidad con diez semanas adicionales; la sentencia núm. 2150/2022, de 25 de octubre, de la Sala de lo Social del Tribunal Superior de Justicia del País Vasco, que desestimó el recurso de suplicación núm. 836-2022 interpuesto por la representación del Instituto Nacional de la Seguridad Social y la Tesorería General de la Seguridad Social y estimó parcialmente el de la señora Fernández, reconociéndole el derecho a otras seis semanas adicionales de permiso de maternidad; y la sentencia núm. 1294/2023, de 21 de diciembre, de la Sala de lo Social del Tribunal Supremo, recurso de casación para la unificación de doctrina núm. 5381-2022, que estimó el recurso presentado por la representación del Instituto Nacional de la Seguridad Social y la Tesorería General de la Seguridad Social, anulando las sentencias anteriores y absolviendo a las codemandadas de todos los pedimentos deducidos contra ellas. Han intervenido el letrado de la administración de la Seguridad Social, en nombre del Instituto Nacional de la Seguridad Social y la Tesorería General de la Seguridad Social,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febrero de 2024, la representante procesal de doña Ixone Fernández Bustillo, bajo la dirección letrada de don Aritz Tellitu Zabala,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Fernández Bustillo es madre biológica de un niño, nacido el 13 de febrero de 2021, siendo su única progenitora registral. Por resolución de 24 de febrero de 2021 le fue reconocido por el Instituto Nacional de la Seguridad Social (INSS) el derecho a la prestación de nacimiento y cuidado del menor por el período que va desde el 13 de febrero de 2021 al 4 de junio de 2021 (dieciséis semanas). El 12 de mayo de 2021 solicitó la ampliación de su permiso en doce semanas más, añadiendo al período ya reconocido el que consideraba hubiera correspondido al segundo progenitor en el supuesto de una familia biparental, petición que fue rechazada por el INSS mediante resolución de 7 de junio de 2021  y frente a la cual la demandante de amparo formuló reclamación previa el 13 de julio de 2021 que fue desestimada por resolución de 12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presentó demanda contra el INSS y la Tesorería General de la Seguridad Social (TGSS) por entender que se estaba discriminando al menor por razón de nacimiento y a ella por razón de sexo y pertenecer a una familia monoparental, solicitando que se le reconociera el derecho a ampliar la prestación en dieciséis semanas adicionales. Mediante sentencia de 2 de diciembre de 2021, dictada en los autos núm. 933-2021, el Juzgado de lo Social núm. 3 de Bilbao estimó parcialmente la demanda interpuesta y declaró el derecho de la actora a “complementar la prestación de maternidad con otras diez semanas, con arreglo a las condiciones económicas ya reconocidas”, quedando el INSS y la TGSS obligados a estar y pasar por esta declaración. La sentencia consideró que, a tenor de la extensión del permiso de paternidad acordada por el Real Decreto-ley 6/2019, de 1 de marzo, y la interpretación de las normas aplicables [art. 48 del estatuto de los trabajadores (en adelante, LET) y art. 177 de la Ley general de la Seguridad Social (en adelante LGSS)] realizada por la Sala de lo Social del Tribunal Superior de Justicia del País Vasco, a cuya doctrina se remitió literal y expresamente, la pretensión había de ser estimada en protección del interés superior del menor, si bien, dado que las primeras seis semanas posteriores al parto atienden a la corresponsabilidad del otro progenitor, lo que no cabe en las familias monoparentales, la ampliación debía ser solo de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señora Fernández y la representación del INSS y la TGSS recurrieron en suplicación la sentencia de instancia. La entidad gestora para sostener que la actora no tiene derecho a la prestación reconocida, en tanto que la demandante interesó que se le reconociera la ampliación del permiso y consiguiente prestación durante seis semanas más, hasta un total de 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25 de octubre de 2022, dictada en el recurso de suplicación núm. 836-2022, fue estimado el recurso de la actora, con desestimación del formulado por la representación del INSS y la TGSS. Al justificar su decisión, la Sala de lo Social del Tribunal Superior de Justicia del País Vasco ratificó la doctrina jurisprudencial propia [sentencia de 6 de octubre de 2020 (ECLI:ES:TSJPV:2020:396)] que había sido fundamento de la sentencia de instancia para admitir la ampliación del permiso y prestación por nacimiento de menor. A lo expuesto añadió que debía también estimar el recurso de la madre, extendiendo de diez a dieciséis semanas la ampliación de su permiso y prestación por nacimiento para garantizar la equiparación plena con las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administración de la Seguridad Social interpuso recurso de casación para la unificación de doctrina en el que invocó como sentencia contradictoria la sentencia núm. 3020/2021, de 19 de octubre, dictada por la Sala de lo Social del Tribunal Superior de Justicia de la Comunidad Valenciana (ECLI:ES:TSJCV:2021:4451), y argumentó la infracción de las normas reguladoras de la prestación por nacimiento y cuidado de menor.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fue estimado por sentencia núm. 1294/2023, de 21 de diciembre, con apoyo en la doctrina fijada por la Sala de lo Social del Tribunal Supremo en la sentencia de 2 de marzo de 2023 (ECLI:ES:TS:2023:783), según la cual, la naturaleza y finalidad del permiso a los progenitores por nacimiento de un hijo, la taxativa regulación normativa de este en el ET y la LGSS,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las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los motivos por los que la demandante solicita el amparo, todos por infracción del art. 14 CE en relación con los arts. 39 y 9.2 CE, tanto de forma directa por su estado civil, en tanto integra una familia monoparental, como indirectamente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Desigualdad entre madres biológicas de familias monoparentales y biparentales (art. 14 CE, primer inciso, en relación con el art. 39 CE). Considera que las resoluciones administrativas y judiciales que le han denegado la ampliación de la prestación por nacimiento y cuidado de su hijo suponen una diferencia de trato injustificada y desproporcionada, que extiende sus efectos a su hijo recién nacido, circunstancias y efectos que no encuentran justificación suficiente en una interpretación literal y formalista de la normativa reguladora que ha sido aplicada. Indica que su pretensión de amparo debe estimarse declarando vulnerado el derecho a la igualdad ante la ley, dado que las decisiones impugnadas se han basado en una interpretación carente de justificación objetiva y razonable, siendo sus consecuencias jurídicas especialmente gravosas o desmedidas tanto para la recurrente como para su hijo recién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del tiempo de cuidados personales que los nacidos sufren como consecuencia de quedar integrados en una familia monoparental no es acorde con el principio general de igualdad, que ha de ponerse en relación con los principios rectores que se enuncian en el artículo 39 CE. Entiende que la debida lectura de estos principios, en conjunción con las normas internacionales sobre protección de la familia y los menores de edad debiera haber llevado a una interpretación distinta de la acordada, que sea concorde con la protección del interés superior del menor y la pretensión que ha defendido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por circunstancias personales y familiares (art. 14, segundo inciso, CE en relación con el art. 39 CE). Señala que la diferencia de trato legislativo, administrativo y judicial por su condición de integrante de una familia monoparental debe ser apreciada como una de las causas de discriminación incluidas en el segundo inciso del art. 14 CE, conforme al cual lo es “cualquier otra condición o circunstancia personal o social” a las citadas por la Constitución. Entiende afectado su derecho al libre desarrollo de la personalidad en cuanto su decisión de formar una familia monoparental está vinculada con las convicciones y creencias más íntimas de la persona (arts. 10.1 y 16 CE) y resulta amparada por el derecho a la vida familiar que reconoce el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progenitora de su hijo, pues este ha sido el criterio rector que ha llevado a denegar la petición de extensión de la duración de las prestaciones por nacimiento de un hijo, lo que constituye un criterio diferenciador manifiestamente irrazonable, de una inadmisibilidad constitucional análoga a las causas de discriminación contempladas en el art. 14 CE y contrario al art. 39 CE. En apoyo de su petición de amparo apela a la introducción como causa de discriminación, en el art. 4.2 c) LET, del trato desfavorable dispensado a mujeres y hombres por el ejercicio de los derechos de conciliación de la vida familiar y laboral. Advierte por último que el perjuicio derivado de la diferencia de trato inconstitucional extiende sus efectos a la inobservancia del interés superior del menor de forma contraria a la jurisprudencia constitucional y a las normas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Discriminación indirecta por razón de sexo (art. 14 CE, segundo inciso, en relación con el art. 9.2 CE). En el último motivo de queja afirma la recurrente que, como consecuencia de la razón de exclusión que justifica las resoluciones impugnadas en amparo, se habría producido adicionalmente una discriminación por razón de sexo debido a que, como viene acreditado estadísticamente con los datos a los que se refiere en su demanda, en la mayoría de las familias monoparentales el progenitor único es una mujer (81 por 100 en 2020). Concluye que a esta situación debe aplicarse el concepto de discriminación indirecta por razón de sexo, acogido por la doctrina constitucional (STC 11/2023, de 23 de febrero, que se remite a lo expuesto en la STC 71/2020, de 29 de junio), pues no se justifica por una medida de política social que cumpla los requisitos exigidos por la jurisprudencia constitucional y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Tribunal Superior de Justicia y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8 de noviembre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presentó sus alegaciones el 18 de noviembre de 2024. 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6 de noviembre, de declarar inconstitucionales los arts. 48.4 ET y 177 LGSS, con el alcance señalado en el fundamento jurídico 7 de la citada resolución. En él se precisa que, en tanto el legislador no se pronuncie al respecto, en las familias monoparentales el permiso a que hacen referencia los arts. 48.4 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el reconocimiento de las diez semanas adicionales “quedará supeditado al cumplimiento del resto de los requisitos legalmente establecidos para el percibo de la prestación, en los que se incluye el haber hecho efectivo el descanso, sin prestación [de] servicios por cuenta ajena ni percibir las correspondientes retribuciones”. Por lo expuesto, suplica que el Tribunal “se sirva tener por contestado el recurso de amparo presentado y, en el supuesto de estimación del recurso se dicte sentencia con los límites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diciembre de 2024, el Ministerio Fiscal interesó la estimación del recurso de amparo por considerar vulnerado el derecho fundamental de la recurrente y su hijo a la no discriminación (art. 14 CE), con apoyo en la STC 140/2024, de 6 de noviembre,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retroacción a la primera resolución dictada por el INSS, ya que la sentencia del Tribunal Superior de Justicia del País Vasco, de 25 de octubre de 2022, no vulneró el derecho de la demandante y su hijo. No obstante, recuerda que esa sentencia concedió a la demandante una ampliación de la prestación hasta dieciséis semanas, lo que supondría un exceso de seis semanas respecto de lo establecido en la STC 140/2024, que no estarían amparadas por el derecho fundamental de la recurrente. Considera por ello procedente mantener el derecho del INSS a que se resuelva su recurso de casación por el Tribunal Supremo, que deberá respetar el derecho fundamental de la demandante según la doctrina constitucional al dictar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Sección Cuarta del Tribunal Constitucional dictó diligencia el 16 de diciembre de 2024 para hacer constar que, transcurrido el plazo para alegaciones, se han recibido los escritos de alegaciones del Ministerio Fiscal y de la Seguridad Social, sin que conste recibido escrito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del texto refundido de la Ley del estatuto de los trabajadores, en relación con el art. 177 del texto refundido de la Ley general de la Seguridad Social,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Ixone Fernández Bustillo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resoluciones del Instituto Nacional de la Seguridad Social de 7 de junio de 2021 y de 12 de agosto de 2021; la sentencia núm. 517/2021, de 2 de diciembre, dictada por el Juzgado de lo Social núm. 3 de Bilbao en los autos núm. 933-2021; la sentencia 2150/2022, de 25 de octubre, dictada por la Sala de lo Social del Tribunal Superior de Justicia del País Vasco en el recurso de suplicación núm. 836-2022; y la sentencia núm. 1294/2023, de 21 de diciembre, dictada por la Sala de lo Social del Tribunal Supremo en el recurso de casación para la unificación de doctrina núm. 5381-2022.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7 de junio de 2021 a fin de que, en los términos expuestos en el último párrafo del fundamento jurídico único de la presente sentencia,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