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1969-2024, promovido por doña María Ángeles Rojo Setién, representada por la procuradora de los tribunales doña Alicia Suau Casado y asistida por la letrada doña Aida Casanova Pérez, contra las resoluciones administrativas presuntas del Instituto Nacional de la Seguridad Social (INSS) denegatorias de la solicitud de ampliación de la prestación por nacimiento y cuidado de hijo menor a la madre biológica de familia monoparental, confirmadas por sentencia de 22 de septiembre de 2022 recaída en el procedimiento núm. 364-2022, del Juzgado de lo Social núm. 9 de Madrid, por la Sala de lo Social del Tribunal Superior de Justicia de Madrid en sentencia desestimatoria de la apelación de 12 de mayo de 2023 (procedimiento recurso de suplicación núm. 1328-2022); y por auto de 13 de febrero de 2024 de la Sala de lo Social del Tribunal Supremo, de inadmisión del recurso de casación en unificación de doctrina núm. 3523-2023. Han intervenido la letrada de la administración de la Seguridad Social y el Ministerio Fiscal. Ha sido ponente la magistrada doña Maria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marzo de 2024, la representante procesal de doña María Ángeles Rojo Setién, bajo la dirección letrada de doña Aida Casanova Pérez, interpuso recurso de amparo contra la decisión administrativa presunta y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Rojo Setién es madre biológica de un niño, nacido el 22 de febrero de 2021, constituyendo ambos una familia monoparental. Por resolución de 22 de marzo de 2021, le fue reconocido por el Instituto Nacional de la Seguridad Social (INSS) el derecho a la prestación de nacimiento y cuidado del menor por el período que comprendido entre el 22 de febrero de 2021 y el 13 de junio de 2021, correspondiendo una base reguladora de 125,22 €/día. Esta resolución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24 de noviembre de 2021, quien ahora es recurrente en amparo, pidió una revisión de prestaciones al objeto de interesar el disfrute del permiso y la acumulación de otras dieciséis semanas más, un total de treinta y dos semanas. Ante el silencio del INSS, interpuso reclamación previa el 21 de enero de 2022, requiriendo el reconocimiento de la duración de la prestación por nacimiento y cuidado en treinta y dos semanas, y la subsiguiente suspensión del contrato de trabajo durante las dieciséis semanas adicionales solicitadas. Esta solicitud tampoco fue contestada.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16 de abril de 2022 se planteó demanda frente a las resoluciones presuntamente denegatorias del INSS y de la Tesorería General de la Seguridad Social (TGSS). Se conformaron así los autos núm. 364-2022, de los que conoció el Juzgado de lo Social núm. 9 de Madrid, que resolvió, en sentido desestimatorio, mediante la sentencia núm. 374/2022, de 22 de septiembre (dimanante del recurso núm. 364-2022). El juzgado hace suya la argumentación de la sentencia de 20 de septiembre de 2021 (autos núm. 744-2021) del Juzgado de lo Social núm. 31, y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finalidad del art. 48.4 del texto refundido de la Ley del estatuto de los trabajadores, aprobado por el Real Decreto Legislativo 2/2015, de 23 de octubre (en adelante LET), que es la norma cuya aplicación pretende la parte recurrente, es la equiparación de derechos entre hombres y mujeres y conseguir una igualdad efectiva en los permisos de maternidad, sin que se tengan en cuenta cualesquiera otras finalidades como la protección de la familia o el interés del menor, tal como se recoge claramente en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redacción de la norma se establece expresamente que el permiso es un derecho individual de cada progenitor y que es intransferible, por lo que no se puede trasmitir el derecho de uno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Durante el debate en el Congreso para convalidar dicha norma, todos los grupos parlamentarios admitían sin ninguna duda que no se incluía en la protección a las familias monoparentales, criticando precisamente dicha exclusión por entender que no se prevé que la madre pueda disfrutar de la parte del periodo del progenitor ausente.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caso de fallecimiento del hijo, no se reduce el periodo de suspensión del contrato, por lo que la finalidad de la norma no es la atención al menor, sino la efectiva igualdad de derechos entre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disposición transitoria se prevé claramente que en caso de fallecimiento de la madre biológica o en el caso de que no se pueda disfrutar el permiso, el otro progenitor tendría derecho a las dieciséis semanas, pero no se amplía este plazo con el tiempo que se le reconoce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única norma que sí regula el derecho de las familias monoparentales es el art. 182.3 b) del texto refundido de la Ley general de la Seguridad Social aprobado por el Real Decreto Legislativo 8/2015, de 30 de octubre (en adelante LGSS), en el que expresamente se prevé incrementar la prestación económica en catorce días; por lo que cuando el legislador ha querido protegerlas, lo ha dicho de forma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Si se reconociera un mayor número de semanas a una mujer de una familia monoparental, existiría una clara discriminación respecto a las mujeres en las familias biparentales, toda vez que estas disfrutarían de menos semanas que las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mismo sentido, si se reconociera este derecho a la mujer de familia monoparental, habría que reconocer el mismo derecho al hombre de una familia monoparental; lo cual es contrario a la norma, ya que esta prevé expresamente que en caso de fallecimiento de la madre biológica el otro progenitor tiene derecho solo a dieciséis semanas, sin poder incrementar más el periodo. En este caso, existiría una desigualdad entre hombres y mujeres, que es precisamente lo que la ley pretende combatir.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argumento de la protección del interés superior del menor, argüido por la parte y contenido en la sentencia de la Sala de lo Social del Tribunal Superior de Justicia del País Vasco, de 6 de octubre de 2020 [recurso 941-2020 (ECLI:ES:TSJPV:2020:396)], opone el juzgado que, en la interpretación de las normas sobre conciliación de la vida familiar, dicho interés no puede dejar sin efecto lo dispuesto por una ley imperativa, cuya finalidad última no es salvaguardar dicho interés del menor, sino la igualdad efectiva de mujeres y hombres en el derecho al permiso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señora Rojo Setién recurrió en suplicación la sentencia de instancia, conociendo del recurso la Sección Tercera de lo Social del Tribunal Superior de Justicia de Madrid, que desestimó el recurso por sentencia núm. 395/2023,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suplicación alegaba, además de la infracción de diversos preceptos legales (art. 177 LGSS; arts. 1, 3, 8, 10, 14 y 44 de la Ley Orgánica 3/2007, de 22 de marzo, para la igualdad efectiva de mujeres y hombres; arts. 2, 3, 12 y 18 del Real Decreto-ley 6/2019, de 1 de marzo, de medidas urgentes para garantía de la igualdad de trato y de oportunidades entre mujeres y hombres en el empleo y la ocupación; art. 3 del Real Decreto 295/2009, de 6 de marzo, por el que se regulan las prestaciones económicas del sistema de la Seguridad Social por maternidad, paternidad, riesgo durante el embarazo y riesgo durante la lactancia natural; arts. 2, 3 y 26 de la Convención de derechos del niño; art. 4.2 c) LET, y arts. 3 y 4 del Código civil, entre otros), la vulneración de los arts. 10, 14 y 39 CE y la infracción de la jurisprudencia contenida en la STC 26/2011, de 14 de marzo y en las SSTS de 25 de octubre de 2016 [recurso núm. 3818-2015 (ECLI:ES:TS:2016:5375)]; de 16 de noviembre de 2016 [recurso núm. 3146-2014 (ECLI:ES:TS:2016:528)], y de 14 de diciembre de 2017 [recurso núm. 2859-2016 (ECLI:ES:TS:2017:4770)].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Madrid de Madrid apela a lo resuelto por el Tribunal Supremo en la sentencia de 2 de marzo de 2023 [STS 169/2023 (ECLI:ES:TS:2023:783)], cuyos fundamentos jurídicos tercero, cuarto y quinto reproduce literalmente, para concluir que, teniendo en cuenta la fundamentación contenida en la sentencia citada dictada por el Tribunal Supremo en Pleno el recurso debe ser desestimado. La sentencia del Tribunal Supremo alude a la ausencia de previsión legal que dé cobertura a la pretensión de extensión del permiso y rechaza que los jueces y tribunales deban formular una interpretación de la norma que lleve a consecuencias que solo corresponde prever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Recurrida en casación la sentencia del Tribunal Superior de Justicia de Madrid, mediante escrito presentado el 10 de julio de 2023 (recurso núm. 3523-2023), por providencia de 11 de enero de 2024 la Sala de lo Social del Tribunal Supremo acuerda abrir el trámite de inadmisión del recurso por falta de contenido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13 de febrero de 2024 se inadmite a trámite el recurso de casación para la unificación de doctrina, con sustento en el argumento de que la Sala de Madrid sigue la doctrina ya unificada por la STS de 2 de marzo de 2023 (recurso núm. 3972-2020), reiterada posteriormente por la STS de 14 de junio de 2023 [recurso núm. 1642-2022 (ECLI:ES:TS:2023:3053)]. El Tribunal Supremo recuerda que, en ambas sentencias, la Sala de lo Social “se refiere al art. 177 LGSS en la redacción dada por el art. 4.3 del Real Decreto-ley 6/2019 y al preámbulo de la citada ley (arts. 4 y 7), destacando que la cuantía de la prestación depende de las bases de cotización del interesado (art. 179 LGSS) y su permanencia durante el periodo de disfrute está condicionada a la no realización de otro trabajo (art. 180 LGSS). Por otra parte la Sala analiza el art. 48.4 LET también en su redacción derivada del Real Decreto-ley 6/2019 del que destaca la equiparación de la duración de la suspensión contractual entre ambos progenitores y la obligación de disfrute conjunto de las seis semanas posteriores al parto, así como la prohibición de transferencia del derecho, para concluir afirmando que la situación prevista es de suspensión del contrato de trabajo ope legis y justifica el cese de las obligaciones mutuas del contrato de trabajo. Seguidamente la sentencia examina las consecuencias que se derivarían del reconocimiento del derecho: (1) Crear una prestación contributiva nueva en favor de las familias monoparentales sin modificar las exigencias en materia de cotización previa o del régimen jurídico de concesión y subsistencia; y (2) modificar el régimen jurídico de suspensión contractual regulado exhaustivamente en el art. 48.4 LET, afectando a la otra parte del contrato que debería soportar una mayor duración de la suspensión contractual prevista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las sentencias de referencia analizan la inexistencia de base legal para reconocer el derecho solicitado por las actuantes en los distintos procesos, afirmando adicionalmente que “el interés por la protección del menor no es el único al que debe atenderse; de ahí que el legislador haya atendido especialmente al principio de igualdad para regular una prestación que tiene como finalidad lograr la corresponsabilidad entre ambos progenitores en el cuidado del menor. En este sentido el legislador ha ponderado todos los intereses a tener en cuenta considerando ‘que el disfrute de los derechos de conciliación y la protección dispensada en estos casos eviten que el ejercicio de aquellos perpetúe roles de género que no se corresponden con la situación social actual ni mucho menos con el principio de igualdad […]’. En definitiva, no puede tenerse en cuenta solo el interés del menor porque no es el único en juego y porque se niega una supuesta vulneración de un teórico derecho del menor de familias monoparentales a ser cuidado en condiciones de igualdad que los menores de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son los motivos por los que la demandante solicita el amparo de este tribunal por infracción del art. 14 CE, lesión que se habría producido tanto de forma directa por su estado civil, en tanto integra una familia monoparental, como indirectamente por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se considera que las resoluciones impugnadas vulneran el art. 14 CE (primer inciso) en relación con el art. 39 CE, al provocar una diferencia de trato entre la demandante de amparo y las progenitoras de familias biparentales en relación con el derecho al permiso por nacimiento y cuidado de hijos, alcanzando los efectos perjudiciales de esa discriminación al cuidado y protección del menor que resulta contraria a las exigencias del derecho a la igualdad proclamado en el art. 14 primer inciso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no pueden ignorar la dimensión constitucional de la cuestión suscitada ni limitarse a efectuar una interpretación de la ley que no tiene en cuenta si la diferencia de trato en relación con el disfrute del derecho al permiso por nacimiento y cuidado de hijos entre familias monoparentales y biparentales tiene una justificación objetiva y razonable y produce un resultado no desproporcionado, atendiendo a las circunstancias concurrentes y, sobre todo, a la transcendencia constitucional del permiso legal de acuerdo con los intereses y valores constitucionales a que el mismo responde. Entiende la recurrente que debe tenerse presente que el reconocimiento del derecho al permiso por nacimiento y cuidado de hijos o hijas menores de doce meses (art. 48.4 LET, modificado por el Real Decreto-ley 6/2019), responde, además de a la necesidad de proteger la salud de la madre biológica, a la de hacer efectivo el deber constitucional de los progenitores de prestar asistencia de todo orden a los hijos menores (art. 39.3 CE) y de contribuir a la efectiva realización del principio rector de la política social que establece que los poderes públicos aseguran la protección social, económica y jurídica de la familia, con independencia del tipo de familia de que se trate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denegación de la ampliación del citado permiso por la inexistencia del otro progenitor, apoyada en una interpretación formalista y restrictiva del art. 48.4.2 LET, estaría falta, según la jurisprudencia constitucional, de justificación objetiva y razonable desde la perspectiva del art. 14 CE y abocaría a una diferenciación que no supera el juicio de proporcionalidad. Apelando a normativa y jurisprudencia internacionales, así como a la jurisprudencia constitucional, la demanda alude a la necesidad de reconocer el interés superior del menor como principio rector de la actuación de los poderes públicos, y en consecuencia, de las autoridades administrativas y judiciales en la interpretación y aplicación de las normas. Así, la seguridad jurídica y la igualdad recogida en los arts. 9.2 y 14 CE se propugnan no solo en el ámbito de la igualdad formal, sino también en lo material, de manera que, ante situaciones iguales se otorgue el mismo trato y en situaciones desiguales, se favorezca un trato distinto a un colectivo concreto que elimine esa desigualdad, máxime cuando se trata de un menor especialmente vulnerable por razón de su edad. Tal es el caso de las familias monoparentales, cuyos integrantes disfrutan de menos protección y prestaciones en un momento especialmente importante como son los primeros meses tras el nacimiento. De todo lo anterior se deduce que las decisiones administrativas y las resoluciones judiciales impugnadas en el presente amparo han vulnerado el derecho fundamental a la igualdad de nuestra representada (art. 14, primer inciso, CE) al provocar una desigualdad entre progenitoras de familias biparentales y familias monoparentales y en consecuencia entre los hijos que las integran, contraria a los principios y valores constitucionales contenidos en el art. 39 CE, al no reconocer el permiso por nacimiento y cuidado de su hijo en las semanas correspondientes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por circunstancias personales y familiares (art. 14.2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diferencia de trato legislativo, administrativo y judicial por su condición de integrante de una familia monoparental debe ser apreciada como una de las causas de discriminación incluidas en el inciso del art. 14 CE, conforme al cual, lo es “cualquier otra condición o circunstancia personal o social” a las citadas por la Constitución. Entiende afectado su derecho al libre desarrollo de la personalidad en cuanto su decisión de formar una familia monoparental está vinculada con las convicciones y creencias más íntimas de la persona (art. 16 CE), y resulta amparada por el derecho a la vida familiar que reconoce el art. 8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tanto la actuación administrativa como la judicial que cuestiona, se apoyan en la decisión de la recurrente en amparo de ser la única progenitora de su hijo, pues este ha sido el criterio rector que ha llevado a denegar la petición de extensión de la duración de las prestaciones por nacimiento de un hijo, lo que constituye un criterio diferenciador manifiestamente irrazonable, contrario al art. 39 CE, y a la propia doctrina del Tribunal Constitucional recogida en la STC 62/2008, de 26 de mayo. En apoyo de su petición de amparo recoge y desarrolla la doctrina constitucional precedente sobre la utilización como criterio de resolución del interés superior del menor que, de forma directa, disfrutaría en este caso de un tiempo menor de cuidados personales como consecuencia del trato discriminatorio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último motivo de queja, afirma la recurrente que, como consecuencia de la razón de exclusión que justifica las resoluciones impugnadas en amparo, se habría producido adicionalmente una discriminación indirecta por razón de sexo debido a que, como viene acreditado estadísticamente con los datos a los que se refiere en su demanda, en la mayoría de las familias monoparentales, el progenitor único es una mujer (81 por 100 en 2020); situación esta a la que se debe aplicar el concepto de discriminación indirecta por razón de sexo que ha sido acogido por la doctrina constitucional (STC 11/2023, de 23 de febrero, que se remite a lo expuesto en la STC 71/2020,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la demandante, la posible vulneración del derecho fundamental que se denuncia pudiera provenir de la ley [art. 48.4 LET; STC 155/2009, de 25 de junio, FJ 2 c)]; el recurso plantea un problema o se refiere a una faceta de un derecho fundamental susceptible de amparo sobre el que no hay doctrina del Tribunal Constitucional o podría dar ocasión al Tribunal para aclarar o modificar su doctrina mediante un proceso de reflexión interna, y como consecuencia de cambios normativos relevantes para la configuración del contenido del derecho fundamental [STC 155/2009, FJ 2 a) y b)]; y, adicionalmente, trascendería del caso concreto al plantear una cuestión jurídica relevante, que genera repercusión social o económica [STC 155/2009, FJ 2 g)]; poniendo de manifiesto que estas circunstancias le llevan a defender que el recurso de amparo presenta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petitum de la demanda la recurrente en amparo solicita que se declaren nulas todas las resoluciones expresas o presuntas, judiciales y administrativas objeto del recurso de amparo, y que se retrotraigan las actuaciones al momento previo al dictado de la resolución del INSS (sic), para que dicte otra que respete los derechos fundamentales de la recurrente, cuya violación se expone en la presente demanda de amparo. Mediante otrosí primero la demanda alega que, para el caso de que el Tribunal entendiera que la estimación del presente recurso de amparo precisara de la declaración de inconstitucionalidad del art. 48.4 LET, porque es la ley la causante de la lesión de los derechos fundamentales a la igualdad en la ley y a la no discriminación directa por condición personal y familiar, e indirecta por sexo de la demandante de amparo (art. 14 CE), y no su interpretación y aplicación por el INSS y por los órganos judiciales en las resoluciones impugnadas, esta parte interesa al Tribunal que eleve al Pleno cuestión de inconstitucionalidad en relación con el citado precepto legal, de acuerdo con el art. 55.2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 este tribunal acordó admitir a trámite el presente recurso apreciando que concurría en él la especial trascendencia constitucional que exige el art. 50.1 LOTC, como consecuencia de que la posible vulneración del derecho fundamental que se denuncia pudiera provenir de la ley o de otra disposición de carácter general [STC 155/2009, FJ 2 c)]. Asimismo, se acordó en la misma providencia recabar de los órganos judiciales copia adverada de las actuaciones, ordenando se procediera a emplazar a quienes fueron parte en las distintas instancias (Juzgado de lo Social, Sala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mediante diligencia de ordenación de 17 de octubre de 2024, la Sala Segunda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artículo 52.1 de la Ley Orgánica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12 de noviembre de 2024, la letrada de la administración de la Seguridad Social presentó sus alegaciones postulando la desestimación de la demanda de amparo. Su pretensión se apoya en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el epígrafe de “No justificación de la trascendencia constitucional”, el escrito de alegaciones rechaza la lesión del art. 14 CE, al considerar que no existe ningún derecho fundamental que resulte vulnerado por el hecho de no reconocer una ampliación de dieciséis semanas de una prestación de la Seguridad Social. Según esta parte la naturaleza y fundamento de la suspensión temporal del contrato de trabajo y de la prestación económica prevista en la ley impiden apreciar las supuestas vulneraciones denunciadas, negando el carácter discriminatorio de las normas reguladoras aplicadas. Entiende esta parte que la cita por la recurrente de la vulneración del derecho de igualdad entre madres y menores integrantes de familias monoparentales y los integrantes de familias biparentales y la alegación de haber sido discriminada por sus circunstancias personales y familiares, carece de fundamento, al no atentar una norma como la del art. 48.4 LET contra ninguno de esos dos derechos, pues la igualdad ante la ley solo es posible predicarla en situaciones iguales y es obvio que la situación de la actora no es parangonable con la de las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identifica y describe el contenido de las normas legales aplicables para la resolución de su pretensión (Ley general de la Seguridad Social, Estatuto de los trabajadores y Estatuto básico del empleado público) para señalar cúal es el sentido y alcance del permiso y la prestación por nacimiento y cuidado del menor tras su nacimiento, poniendo especial atención en su finalidad, tal y como la describe la exposición de motivos del Real Decreto-ley 6/2019, a cuyo tenor no es sino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también en la idea de que los permisos de paternidad y maternidad hoy reconocidos legalmente vienen configurados como un derecho individual, personal e intransferible de cada progenitor, lo que impide su acumulación en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que esta es la interpretación jurisprudencial constante y unificada de la Sala de lo Social del Tribunal Supremo, que tuvo oportunidad de pronunciarse expresamente en la STS 169/2023, de 2 de marzo, con una doctrina que contradice el fundamento de fondo de la pretensión de amparo. También entiende que su alegación en favor de la desestimación del amparo pretendido es acorde con la doctrina del Tribunal Constitucional fijada en las SSTC 75/2011, de 19 de mayo, y 111/2018, de 17 de octubre, que, resolviendo casos distintos, bajo condiciones normativas distintas, desestimó las pretensiones de amparo entonces planteadas a partir del diferente régimen y finalidad de las prestaciones por paternidad y maternidad, y del hecho de no venir asociadas legalmente dichas prestaciones al requisito único del nacimiento de un hijo o hija común, sino al cumplimiento de los requisitos de afiliación y contribución que las caracterizan. Señala, en fin, que la interpretación administrativa y judicial del precepto aplicado para denegar a la demandante su petición de extensión de la suspensión del contrato de trabajo con la correspondiente prestación económica (específicamente el art. 48.4 LET), es acorde con la normativa vinculante del Derecho de la Unión Europea y la interpretación que de la misma ha hecho su Tribunal de Justicia, que reconoce también distinto fundamento y finalidad a los permisos de paternidad y maternidad, lo que permite atribuirles un carácter personal y no transferible, aún en los supuestos en que estos no pudieran disfrutarse o ser reconocidos a uno de los progenitores. En sus alegaciones se analizan también los tratados y acuerdos internacionales citados por la demandante, y otros, para concluir que de ellos no deriva la pretensión de extensión y reconocimiento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letrada sostiene que ni el principio general de igualdad, ni la alegada discriminación directa por razón de estado civil, condición de familia monoparental o afectación del interés del menor, o indirecta por razón de sexo se han producido en este caso; ni derivan de la ley rectamente aplicada, ni son consecuencia de una interpretación de esta que no esté atenta a los principios y derechos fundamentales que han sido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esta parte que la premisa de que parte la recurrente no es cierta, porque no todos los menores nacidos en familias biparentales podrán ser atendidos en las mismas condiciones por ambos progenitores, ni es cierto que ambos progenitores deban percibir prestaciones de Seguridad Social derivadas del nacimiento del menor. Además, no procede considerar la existencia de una discriminación de los menores en familias biparentales y monoparentales, toda vez que son diferentes las situaciones que se traen a comparación, pues el permiso de paternidad no se contempla como un periodo añadido al permiso de maternidad con la finalidad del cuidado, pues al contrario las seis primeras semanas a reconocer al segundo progenitor deben coincidir con las de descanso obligatorio del progenitor biológico. De este modo, el permiso del otro progenitor se contempla como un descanso con finalidad de repartir las cargas familiares e indirectamente, evitar un distinto trato laboral entre hombres y mujeres evitando o aliviando las consecuencias del estereotipo de género. El titular del derecho discutido corresponde al segundo progenitor y no al hijo, lo que determina la inexistencia de la discriminación planteada por razón de sexo intentando justificarla con 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letrada de la Seguridad Social alega que, si se estima el recurso de amparo, no puede reconocerse la ampliación de dieciséis semanas más del permiso y de la correspondiente prestación de Seguridad Social por nacimiento y cuidado del menor, previstos en los arts. 48.4 LET y 177 LGSS, en la redacción dada por el Real Decreto-ley 6/2019, a la madre de familia monoparental, que reclama la recurrente. Y ello porque el art. 48.4 LET establece que el nacimiento, que comprende el parto y el cuidado del menor de doce meses, suspenderá el contrato de trabajo de la madre biológica durante dieciséis semanas, y también el contrato de trabajo del progenitor distinto a la madre biológica durante dieciséis semanas, de las cuales, en ambos casos, serán obligatorias las seis semanas ininterrumpidas inmediatamente posteriores al parto, que habrán de disfrutarse a jornada completa; en el caso de la madre para asegurar la protección de su salud y en el caso del otro progenitor para el cumplimiento de los deberes de cuidado previstos en el artículo 68 del Código civil. El resto del periodo de suspensión del contrato, que es un derecho individual y no puede transferirse al otro progenitor, puede ser distribuido a voluntad de la madre y del progenitor distinto de la madre, en periodos semanales a disfrutar de forma acumulada o interrumpida, pudiendo simultanear o alternar el periodo de permiso, hasta que el menor cumpla doce meses, de manera que el menor puede disfrutar de veintiséis semanas de cuidado y compañía de su progenitor. Conforme a lo expuesto, la ampliación del permiso y de la correspondiente prestación a la madre de familia monoparental, solo podría ampliarse en diez semanas y no en dieciséis como solicita la demandante porque el permiso durante las primeras seis semanas inmediatamente posteriores al parto, debe ser necesaria e ininterrumpidamente disfrutado por ambos progenitores. Por tanto, el tiempo de cuidado del menor no se ve mermado, con la suma de las diez semanas restantes, alcanzando así las veintiséis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noviembre de 2024, la representación procesal de la demandante presentó sus alegaciones en las que ratificó los fundamentos de su pretensión de amparo mediante remisión a la demanda de amparo. Adicionalmente la parte hace referencia a la sentencia de la Sala de lo Contencioso-Administrativo del Tribunal Supremo, STS 1612/2024, de 15 de octubre, recurso de casación núm. 5372-2022 (ECLI:ES:TS:2024:4948), y a la STC 140/2024, de 6 de noviembre, estimatoria de la cuestión de inconstitucionalidad promovida por el Tribunal Superior de Justicia de Cataluña en relación con el art. 48, apartados 4, 5, y 6, del texto refundido de la Ley del estatuto de los trabajadores, aprobado por Real Decreto Legislativo 2/2015, de 23 de octubre (LET), en conexión con el art. 177 del texto refundido de la Ley general de la Seguridad Social, aprobado por el Real Decreto Legislativo 8/2015, de 30 de octubre (LGSS). Respecto de esta última, la parte sostiene que, aunque el Tribunal mantiene la vigencia del precepto, mientras el legislador no corrija su omisión, considera necesario que la norma se interprete en el sentido de adicionar al permiso de la madre biológica (dieciséis semanas) el previsto para el progenitor distinto (diez semanas, al excluirse las seis primeras semanas, que necesariamente deben disfrutarse de forma ininterrumpida e inmediatamente posterior al parto). Ello vendría a reforzar los argumentos contenidos en la demanda de amparo, que se reiteran de nuevo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diciembre de 2024, el Ministerio Fiscal interesó la estimación del recurso de amparo, aludiendo de forma extensa y expresa a la STC 140/2024, y apelando a la necesidad de acomodar su informe a la nueva doctrina emanada de la sentencia citada, lo que distingue su posición de la sostenida en los escritos de alegaciones relativos a los recursos de amparo núm. 2068-2024, 1880-2024 y 1845-2024.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Fiscalía considera que no es necesario hacer referencia a la doctrina general sobre el derecho a la igualdad y a la no discriminación por razón de sexo, habida cuenta que, además de ser sobradamente conocida por este tribunal, en sentencia de 6 de noviembre de 2024, se ha establecido una doctrina constitucional específica para la cuestión, resolviendo sobre la planteada inconstitucionalidad del indicado art. 48.4 LET (así como del art.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reproducción literal de varios pasajes de la STC 140/2024, el Ministerio Fiscal recuerda que la sentencia estima la cuestión de inconstitucionalidad y declara que: “los arts. 48.4 LET y 177 LGSS, al no prever la posibilidad de que, en circunstancias como las descritas en el caso del que trae causa la presente cuestión, la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alcance de la declaración de inconstitucionalidad la sentencia (fundamento jurídico 7) no declara nulos los preceptos declarados inconstitucionales, si bien precisa que “en tanto el legislador no se pronuncie al respecto, en las familias monoparentales el permiso a que hace referencia el art. 48.4 LET, y en relación con él el art. 177 LGSS, ha de ser interpretado en el sentido de adicionarse al permiso del primer párrafo para la madre biológica (dieciséis semanas), el previsto en el segundo para progenitor distinto (diez semanas, al excluirse las seis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constitucional de la STC 140/2024 al presente recurso, el Ministerio Fiscal propone la estimación del recurso, pues al aplicarse en la instancia los arts. 48.4 LET y 177 LGSS, recientemente declarados inconstitucionales, las resoluciones impugnadas han producido la discriminación prohibida por el art. 14.1 CE, tanto de la demandante de amparo por constituir una familia monoparental, (por razón del modelo de familia), como del hijo por razón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laboral subyacente no se debatía esencialmente la duración de la suspensión del contrato de trabajo, sino la prestación de la seguridad social del art. 177 y ss. LGSS, que corresponderían al segundo progenitor caso de existir. El motivo de la vulneración del art. 14 CE de acuerdo con la STC 140/2024 es el derecho a la no discriminación, porque la regulación cuestionada (art. 48.4 LET en relación con el art. 177 LGSS) provoca una desigualdad de trato perjudicial para los menores nacidos en familias monoparentales frente a los nacidos en familias biparentales en cuanto al menor tiempo que las familias monoparentales, al estar formadas por un único progenitor, tienen para cuidado del hijo de hasta doce meses de edad, por la regulación de la suspensión del contrato de trabajo (art. 48.4 LET). Sin embargo, la duración de la prestación del art. 177 LGSS que ha sido objeto de la reclamación en el proceso laboral está vinculada a la suspensión del contrato de trabajo por el nacimiento y cuidado del hijo de hasta doce meses de edad que establece el art. 48.4 LET. Por este motivo, al denegar la ampliación de la prestación las resoluciones impugnadas han resultado contrarias al art. 14 CE y por tanto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 su argumentación la Fiscalía afirmando que no se trata de que la interpretación y aplicación de los mencionados preceptos se haya realizado de manera ilógica o arbitraria, pues cuando se aplicaron eran normas con rango de ley y no se había declarado su inconstitucionalidad; y el Tribunal Constitucional, en la sentencia mencionada, no mantiene que los preceptos sean constitucionales con una interpretación conforme a la Constitución, sino que los declara directamente contrarios al art. 14 CE por omisión, estableciendo una interpretación provisional para que su aplicación —ya que no los declara nulos— no siga produciendo una vulneración del art. 14 CE. Es la inconstitucionalidad de las normas la que produce la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alegado, el fiscal interesa el otorgamiento del amparo, la declaración de nulidad de las resoluciones administrativas desestimatorias por silencio administrativo del Instituto Nacional de la Seguridad Social, así como las resoluciones judiciales confirmatorias de la denegación, y la retroacción de las actuaciones para que el INSS dicte una nueva resolución conforme establece la doctrina constitucional establecida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presuntas y judiciales impugnadas han ocasionado a la demandante una discriminación por razón de nacimiento, contraria al art. 14 CE, en relación con el art. 39 CE, al aplicar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Seguridad Social solicita la desestimación del recurso de amparo, mientras que el Ministerio Fiscal interesa la estimación en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de la cuestión planteada y su justificación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fundamentación de la demanda de amparo y del debate planteado y resuelto en la vía judicial previa sobre el alcance y contenido de los arts. 48.4 LET y 177 LGSS, el presente recurso de amparo fue admitido a trámite tras apreciar que la posible vulneración del derecho fundamental que se denuncia pudiera provenir de la ley [STC 155/2009, FJ 2 c)], en tanto las decisiones administrativas y judiciales cuestionadas justificaban la desestimación de la pretensión planteada, en cada caso, en el tenor literal de la regulación jurídica aplicable y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cuestiona en sus alegaciones que la demandante haya justificado de forma debida la especial trascendencia constitucional de la cuestión planteada en la demanda de amparo. Sin embargo, tal objeción no puede ser compartida como óbice procesal que justificaría la inadmisión de la demanda pues, a través de dicha alegación, no se hace sino discrepar de la fundamentación que justifica la queja, anticipando la representante de la administración que no se ha producido vulneración alguna del derecho a la igualdad ante la ley sin que haya lugar a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habrá de ser analizado al resolver la cuestión de fondo lo que, cabe anticipar, se llevará a cabo en los mismos términos en que ha sido expresado en la reciente STC 140/2024, de 6 de noviembre (del Pleno), a la que, por coincidir su objeto, habremos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núm. 1969-2024 promovido por doña María Ángeles Rojo Setién,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siguientes resoluciones: (i) la sentencia del Juzgado de lo Social núm. 9 de Madrid, 22 de septiembre de 2022 (procedimiento de seguridad social en materia prestacional núm. 364-2022); (ii) la sentencia de la Sala de lo Social del Tribunal Superior de Justicia de Madrid, de 12 de mayo de 2023 (procedimiento recurso de suplicación núm. 1328-2022); y (iii) el auto de inadmisión de 13 de febrero de 2024 de la Sala de lo Social del Tribunal Supremo (recurso de casación en unificación de doctrina núm. 3523-2023).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posterior a la solicitud de 24 de noviembre de 2021, para que el Instituto Nacional de la Seguridad Social dicte resolución expresa que resulte ser respetuosa con el derecho fundamental reconocido a la recurrente, con el alcance fijado en el último párrafo del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