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3143-2024, promovido por doña Vanessa Quesada Macías representada por la procuradora doña Gloria Llorente de la Torre y asistida por la letrada doña María de los Ángeles Calzadilla Gamero, contra las resoluciones del Instituto Nacional de la Seguridad Social de 10 y de 31 de agosto de 2021 que desestimaron su petición de acumulación al permiso y prestación por nacimiento y cuidado de hijo que le fue reconocida, el tiempo que le hubiera correspondido al progenitor distinto de la madre biológica en el ámbito de una familia monoparental; la sentencia núm. 94/2023, de 15 de marzo, del Juzgado de lo Social núm. 2 de Badajoz, dictada en autos núm. 609-2021, que desestimó la demanda que interpuso contra el Instituto Nacional de la Seguridad Social; la sentencia núm. 618/2023, de 30 de noviembre, de la Sala de lo Social del Tribunal Superior de Justicia de Extremadura, dictada en autos núm. 470-2023, que desestimó el recurso de suplicación interpuesto contra aquella sentencia, y el auto de 22 de febrero de 2024 de la misma Sala, que tuvo por no interpuesto el recurso de casación para unificación de doctrina previamente anunciado. Ha comparecido y formulado alegaciones la letrada de la administración de la Seguridad Social en nombre del Instituto Nacional de la Seguridad Social (INSS) y de la Tesorería General de la Seguridad Social. También ha comparecido la letrada de la Junta de Extremadura.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abril de 2024 la representante procesal de doña Vanessa Quesada Macías, bajo la dirección letrada de doña María de los Ángeles Calzadilla Gamero, interpuso recurso de amparo contra las resoluciones administrativas y judiciales referidas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dirimir el presente recurso de amparo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Quesada Macías, empleada del Servicio Extremeño de Salud (SES), madre biológica de una criatura nacida el 28 de julio de 2021, solicitó al Instituto Nacional de la Seguridad Social la prestación por nacimiento y cuidado de menor, lo que le fue reconocido por resolución de la dirección provincial del INSS, con efectos para el periodo comprendido entre el 28 de julio de 2021 y el 16 de noviembre de 2021. El 30 de agosto de 2021 solicitó que se le reconociesen también las dieciséis semanas que hubieran correspondido al progenitor distinto de la madre biológica, alegando que se trataba de una familia monoparental, petición que le fue denegada por resolución de la dirección provincial del INSS de 31 de agosto de 2021. Contra esta denegación planteó en escrito presentado el 6 de octubre de 2021 ante la dirección provincial del INSS reclamación previa a la vía judicial de la que no recibió contestación.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actora, disconforme con las decisiones, expresa y por silencio administrativo, adoptadas por la administración de la Seguridad Social, presentó demanda contra el INSS, que hubo de ampliar por exigencias litisconsorciales al SES, en la que interesó se les condenara a que le reconocieran la prestación de nacimiento y cuidado de hijo correspondiente al otro progenitor, por tratarse de una familia monoparental. Invocó para ello la vulneración del principio de igualdad y el interés superior del menor, de los arts. 14 y 39.1 CE, así como normativa nacional e internacional sobre igualdad efectiva de mujeres y hombres, erradicación de toda forma de discriminación de la mujer, y relativa a protección de menores; también alegó la existencia de un vacío legal en el art. 48 del texto refundido de la Ley del estatuto de los trabajadores, aprobado por el Real Decreto Legislativo 2/2015, de 23 de octubre (en adelante LET) que provocaba una situación de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turnada al Juzgado de lo Social núm. 2 de Badajoz que, cumplimentado el trámite procesal oportuno en autos núm. 609-2021, la desestimó íntegramente en sentencia núm. 94/2023, de 15 de marzo. Funda el juzgado su decisión en que la cuestión planteada por la demandante había sido unificada en sentido adverso a su pretensión por la STS 169/2023, de 2 de marzo (recurso de casación para unificación de doctrina núm. 3972-2020; ECLI:ES:TS:2023:783) del Pleno de la Sala de lo Social del Tribunal Supremo, que estableció que no procedía el reconocimiento de una nueva prestación distinta a la ya reconocida y coincidente con la que hubiera correspondido al otro progenitor, de acuerdo con la normativa vigente, que cumple las exigencias derivadas del Derecho de la Unión Europea, de la Constitución y de los acuerdos y tratados internacionales ratificados por España, correspondiendo al legislador determinar el alcance y contenido de la protección que debe dispensarse a este tipo de familias. En virtud de ello, absolvió a las partes demandadas de las pretensiones deducidas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interpuso recurso de suplicación que fue desestimado en sentencia núm. 618/2023, de 30 de noviembre, dictada por la Sala de lo Social del Tribunal Superior de Justicia de Extremadura en los autos núm. 470-2023. La Sala funda su decisión, al igual que el juzgado, en la doctrina fijada en la sentencia del Tribunal Supremo de 2 de marzo de 2023, que fue ratificada posteriormente en sentencia de 14 de junio de 2023 (ECLI:ES:TS:2023:3053).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presentó escrito anunciando su voluntad de interponer recurso de casación para unificación de doctrina, que se tuvo por preparado en diligencia de ordenación de 21 de diciembre de 2023, y en el plazo legalmente establecido presentó escrito de interposición del referido recurso que la Sala, por auto de 22 de febrero de 2024, tuvo por no interpuesto al haber alegado una sentencia de contraste que carecía de la necesaria firmeza (arts. 221.3 y 222.2 de la Ley 36/2011, de 10 de octubre, reguladora de la jurisdicción social). Este auto fue comunicado el día 23 de febrero de 2024 a través de la plataforma LexNet a la abogada de la actora, que ejercía su representación procesal, constando su recepción a las 14:07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igualdad y a la no discriminación indirecta por razón de sexo, y a la no discriminación del menor por carecer de otro progenitor distinto de la madre biológica al ser familia monoparental, y por no respetarse el interés superior del menor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punto VI del apartado dedicado a justificar el cumplimiento de los presupuestos procesales, afirma que “de acuerdo con lo establecido en el art. 43.2 LOTC [Ley Orgánica del Tribunal Constitucional], el presente recurso se interpone dentro del plazo de veinte días a contar desde la notificación del auto por el que se tiene por no interpuesto el recurso de casación para la unificación de doctrina, notificado en fecha 3 de marzo de 2024, dictado por la Sala de lo Social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 la pretensión, alega que se ha infringido el principio de no discriminación, lo que conecta con las exigencias establecidas en legislación española y en distintos instrumentos internacionales en materia de protección de los niños, igualdad de mujeres y hombres, y erradicación de toda forma de discriminación de la mujer, considerando que la decisión de denegar la ampliación del permiso y prestación por nacimiento y cuidado de un menor habido en el seno de una familia monoparental representa el incumplimiento de los parámetros exigibles en virtud de dicho conjunto normativo. Sobre este particular alega que la atención, cuidado y desarrollo del menor afectado va a sufrir una clara merma respecto del que van a recibir aquellos otros que están encuadrados dentro de un modelo familiar biparental, y postula por ello una interpretación de los arts. 177 y concordantes del texto refundido de la Ley general de la Seguridad Social aprobado por el Real Decreto Legislativo 8/2015, de 30 de octubre (en adelante LGSS) y 48.4 LET que se acomode a la primacía del interés superior del menor reconocida en nuestra Constitución (art. 39) y en dichas normas nacionales e internacionales, esgrimiendo como argumento de refuerzo determinados pronunciamientos de la Sala de lo Social del Tribunal Supremo que realizaron interpretaciones integradoras de la normativa sobre suspensión contractual y prestación por maternidad basadas en el interés superior del menor en el contexto de la “gestación por sustitución”. También invoca precedentes en los que la misma Sala ha interpretado la legislación protectora de la Seguridad Social con perspectiva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la demanda de amparo solicita que se declare la nulidad de la sentencia núm. 618/2023, de 30 de noviembre, dictada por la Sala de lo Social del Tribunal Superior de Justicia de Extremadura y, en consecuencia, que se reconozca el derecho de la demandante a disfrutar de diez semanas adicionales a la prestación por nacimiento y cuidado de hijo en familia monoparental, con los efectos inherentes a dicho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Primera de este tribunal acordó admitir a trámite el presente recurso de amparo apreciando que concurría en él la especial trascendencia constitucional que exige el art. 50.1 LOTC como consecuencia de que la posible vulneración del derecho fundamental que se denuncia pudiera provenir de la ley o de otra disposición de carácter general [STC 155/2009, de 25 de junio, FJ 2 c)]. Asimismo, se acordó en la misma providencia recabar de la Sala de lo Social del Tribunal Superior de Justicia de Extremadura la remisión de certificación o fotocopia adverada de las actuaciones correspondientes al recurso de suplicación núm. 470-2023, y del Juzgado de lo Social núm. 2 de Badajoz la remisión de certificación o fotocopia adverada de las actuaciones correspondientes a los autos de Seguridad Social núm. 609-2021,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septiembre de 2024 se tuvieron por recibidas las actuaciones correspondientes al recurso de suplicación núm. 470-2023 de la Sala de lo Social del Tribunal Superior de Justicia de Extremadura y los autos núm. 609-2021 del Juzgado de lo Social núm. 2 de Badajoz, los cuales se incorporaron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4 de octubre de 2024 el letrado de la Junta de Extremadura presentó escrito manifestando su voluntad de personarse en el procedimiento de amparo en la representación que ostentaba.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octubre de 2024 la letrada de la administración de la Seguridad Social, en nombre y representación del INSS y de la Tesorería General de la Seguridad Social, presentó escrito manifestando su voluntad de personarse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21 de octubre de 2024 se tuvo por personados a los letrados del INSS y de la Junta de Extremadura en la representación que ostentaban, y se acordó, a tenor de lo dispuesto en el art. 52 LOTC, dar vista de las actuaciones y conceder un plazo de veinte días al Ministerio Fiscal y a las partes personadas para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octubre de 2024 presentó escrito de alegaciones la representación procesal de la demandante en el que se ratificó íntegramente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14 de noviembre de 2024 presentó escrito de alegaciones la letrada del INSS en el que solicitó la desestimación de la demanda y, subsidiariamente, para el caso de su estimación, que la misma sea parcial, con reconocimiento de un aumento de la duración del permiso laboral y correlativa prestación de la Seguridad Social, tras el agotamiento de las primeras dieciséis semanas, no superior a las diez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primer lugar que la regulación del permiso y de la prestación por nacimiento y cuidado de hijo recogida en los arts. 48.4 LET y 177 a 179 LGSS, emanada del Real Decreto-ley 6/2019, de 1 de marzo, de medidas urgentes para garantía de la igualdad de trato y de oportunidades entre mujeres y hombres en el empleo y la ocupación, para conseguir una igualdad real y efectiva entre hombres y mujeres, equipara la duración de los permisos de ambos progenitores, dieciséis semanas, con el fin de promover la conciliación de la vida personal y familiar y el principio de corresponsabilidad de ambos, configurándose este derecho como individual, personal e intransferible.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no obstante, que la STC 140/2024, de 6 de noviembre, ha declarado inconstitucionales los arts. 48.4 LET y 177 LGSS, aunque sin declarar su nulidad, estableciendo que en tanto el legislador no se pronuncie al respecto, en las familias monoparentales el permiso del art. 48.4 LET y en relación con él, el art. 177 LGSS, ha de ser interpretado en el sentido de adicionarse al permiso para la madre biológica (dieciséis semanas) el previsto para el progenitor distinto (diez semanas, al excluirse las seis primeras).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11 de diciembre de 2024 presentó escrito de alegaciones la fiscal ante el Tribunal Constitucional que solicitó, con carácter principal, la inadmisión de la demanda de amparo por extemporánea, y de manera subsidiaria, su estimación por haberse vulnerado el derecho de la demandante y de su hijo a no ser discriminados.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nada objeta al agotamiento de la vía judicial previa por parte de la demandante de amparo, que considera correcto al considerar que la decisión de la actora de no interponer recurso de queja contra el auto de 22 de febrero de 2024, que le denegó la interposición de recurso de casación para unificación de doctrina, respondió a las escasas posibilidades de éxito que hubiera tenido dicho recurso, y porque tampoco era preciso promover incidente de nulidad de actuaciones habida cuenta de que la lesión no se imputaba directamente a la resolución judicial, tomando en consideración asimismo la flexibilidad de criterio que fue introducida por la STC 112/2019, de 3 de octubre, FJ 3 c), en la apreciación de este requisito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considera, sin embargo, que la demanda es extemporánea, por no haber cumplido en su interposición el plazo de veinte días exigido en el art. 43.2 LOTC, pues el auto de 22 de febrero de 2024 le fue comunicado a la representación procesal de la actora mediante el sistema LexNet el día 23 de febrero de 2024, por lo que el plazo habría finalizado el 25 de marzo a las 15:00 horas, mientras que la demanda fue presentada en el registro electrónico del Tribunal el día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pretensión de amparo, para el caso de que no fuera apreciado el óbice, la fiscal interesa su estimación, porque la denegación de la ampliación del permiso y prestación por nacimiento y cuidado de hijo en el seno de una familia monoparental determina la producción de una discriminación del hijo por razón de su nacimiento. Interesa por ello que se declare la nulidad de las resoluciones administrativas y judiciales impugnadas y que por el INSS se dicte una nueva resolución que sea conforme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 su criterio en las razones desarrolladas en la STC 140/2024, de 6 de noviembre, dictada en la cuestión de inconstitucionalidad núm. 6694-2023, que llevaron a concluir que eran inconstitucionales los arts. 48.4 LET y 177 LGSS por generar una discriminación del hijo nacido en el seno de una familia monoparental al no reconocerse a la madre la posibilidad de acumular el periodo de permiso y prestación que hubiera correspondido al otro progenitor, lo que supone que los menores nacidos en el seno de una familia monoparental podrán disfrutar de un periodo de cuidado significativamente inferior a los nacidos en familias biparentales. Se proyecta así la doctrina constitucional sobre prohibición de situaciones discriminatorias derivadas de diferencias de trato entre hijos (matrimoniales y no matrimoniales, naturales y adoptivos, comunes de la pareja respecto de los no comunes) a las diferencias entre hijos por razón del modelo de familia —biparental y monoparental— en el que hayan nacido, en tanto que esa diferencia trae causa también del nacimiento, aunque en este caso sea por un determinado contexto familiar. A idéntica conclusión conduce una interpretación sistemática del art. 14 CE con la protección del interés superior del menor del art. 39.1 CE. Se atiene asimismo al criterio de interpretación provisional fijado en la sentencia de que mientras el legislador no reforme dichos artículos, deben interpretarse en el sentido de adicionarse al permiso de dieciséis semanas de la madre biológica, el previsto para el progenitor distinto, de diez semanas, al tener que excluirse las seis primeras semanas que son de disfrute conjunto. Sostiene por ello que el INSS debe dictar una nueva resolución que sea conforme con la doctrina establecida en la STC de 6 de noviembre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12 de diciembre de 2024 se tuvieron por recibidos los escritos de alegaciones de la letrada del INSS y de la fiscal, quedando pendiente el recurso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9 de enero de 2025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impugna la resolución adoptada el 31 de agosto de 2021 por el INSS, que fue confirmada posteriormente por la jurisdicción social, que desestimó su petición de que se acumulase al permiso y prestación por nacimiento y cuidado de hijo que le correspondía como madre del menor nacido, el periodo que le hubiera correspondido al progenitor distinto de la madre, por tratarse de una familia monoparental. Sostiene que la desestimación de su solicitud conlleva la vulneración del principio de igualdad garantizado en el art. 14 CE porque han conducido a que ella sufra una discriminación indirecta por razón de sexo, y el menor nacido una discriminación por razón de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en su escrito de alegaciones interesa la inadmisión del recurso de amparo por haberse interpuesto cuando ya había vencido el plazo establecido en el art. 43.2 LOTC, atendiendo a la fecha en que le fue notificada a la actora la resolución que puso fin al procedimiento judicial, el auto de la Sala de lo Social del Tribunal Superior de Justicia de Extremadura de 22 de febrero de 2024. Subsidiariamente, para el caso de no apreciarse el citado óbice procesal, interesa que el recurso de amparo sea estimado en atención a la inconstitucionalidad ex silentio de los arts. 48.4 LET y 177 LGSS declarada en la STC 140/2024, de 6 de noviembre, y la interpretación provisional auspiciada en dicho pronunciamiento en tanto no se produzca su reforma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INSS interesa la desestimación del recurso de amparo argumentando el carácter personal e intransferible del derecho a la prestación y, subsidiariamente, a la luz de la STC 140/2024, una estimación parcial de la pretensión deducida que limite la ampliación del periodo de permiso y prestación a diez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causa de inadmisibilidad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deducida por la fiscal ante el Tribunal Constitucional en su escrito de alegaciones de inadmisión de la demanda de amparo por haber sido presentada fuera del plazo de veinte días establecido en el art. 43.2 LOTC exige un examen preferente, pues su estimación impediría a este tribunal entrar en el examen de su fondo. Conforme a constante doctrina constitucional, de la que es representativa la STC 33/2023, de 18 de abril, FJ 2, “los defectos insubsanables de que pudiera estar afectado el recurso no resultan subsanados porque haya sido inicialmente admitido a trámite, de forma que la comprobación de los presupuestos procesales para la viabilidad de la acción se pueden volver a abordar o reconsiderar en sentencia, de oficio o a instancia de parte, dando lugar a un pronunciamiento de inadmisión por falta de tales presupuestos, sin que para ello constituya obstáculo el carácter tasado de los pronunciamientos previstos en el art. 53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en el presente caso, en el que la demandante impugna, con expresa invocación del art. 43 LOTC, la decisión del INSS de no reconocerle la ampliación de la prestación por nacimiento y cuidado de hijo por el hecho de tratarse de una familia monoparental, decisión que considera discriminatoria tanto para ella, por razón de sexo, como para el menor, por razón de nacimiento, ofreciendo un fundamento impugnatorio de las ulteriores resoluciones judiciales centrado exclusivamente en el hecho de que no habrían proporcionado el debido reconocimiento y reparación de la vulneración sufrida.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testimonio de las actuaciones correspondientes al recurso de suplicación núm. 470-2023 remitido por la Sala de lo Social del Tribunal Superior de Justicia de Extremadura, es inevitable otorgar la razón a la representante del Ministerio Público, pues del mismo se desprende que la resolución judicial que puso fin al procedimiento, el auto de 22 de febrero de 2024, no fue notificada a la representación procesal de la demandante el día 3 de abril de 2024, como erróneamente se hace constar en el escrito iniciador, sino en una fecha anterior, existiendo constancia en actuaciones de que el auto fue comunicado a la abogada de la recurrente, que ostentaba su representación procesal, por el sistema LexNet el día 23 de febrero de 2024, a las 14:06 horas, siendo retirada la comunicación por su destinataria el mismo día a las 14:07 horas, por lo que el plazo de caducidad de veinte días establecido en el art. 43.2 LOTC para la interposición de la demanda constitucional de amparo venció el día 25 de marzo de 2024 a las 15:00 horas, con bastante antelación, por lo tanto, a la fecha de presentación de la demanda de amparo en el registro de este tribunal, el 30 de abril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óbice procesal planteado por la fiscal ante el Tribunal Constitucional impide entrar en el examen del fondo de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formulado por doña Vanessa Quesada Macías.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