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3182-2023, promovido por doña Noelia Velarte Lahoz, representada por la procuradora de los tribunales doña Beatriz Martínez Martínez y bajo la dirección del letrado don Juan José Carrascón Concellón, contra la sentencia 223/2023, de 20 de marzo, dictada por la Sala de lo Social del Tribunal Superior de Justicia de Aragón, por la que se estima el recurso de suplicación núm. 17-2023, interpuesto por el Instituto Nacional de la Seguridad Social contra la sentencia núm. 280/2022, de 22 de noviembre, del Juzgado de lo Social núm. 3 de Zaragoza, en autos de la Seguridad Social en materia prestacional núm. 632-2022.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mayo de 2023, doña Noelia Velarte Lahoz, con la representación y defensa indicadas, interpuso recurso de amparo contra las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que en virtud de contrato a tiempo parcial presta servicios por cuenta ajena para el Ayuntamiento de Guadalaviar, Teruel, desde el 26 de mayo de 2021, con motivo del nacimiento de sus dos hijos el 7 de junio de 2021, solicitó prestación por nacimiento y cuidado del menor que le fue reconocida por resolución con efectos de 7 de junio de 2022, con duración hasta el 10 de octubre de 2022 (dieciocho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ser desestimada la reclamación previa en vía administrativa, por la que reclamaba la ampliación en doce semanas del disfrute del permiso por ser familia monoparental, interpuso una demanda contra el Instituto Nacional de la Seguridad Social (INSS) y la Tesorería General de la Seguridad Social (TGSS), por la que solicitaba la ampliación del permiso por parto múltiple para la acumulación al periodo concedido de otras once semanas, en su condición de única progenitora de los menores nacidos. Alegaba que la desestimación de la acumulación solicitada constituye una discriminación de los derechos del niño en relación con la situación regulada para la familia biparental cuando el menor está a cargo y cuidado de sus dos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Social núm. 3 de Zaragoza dictó sentencia el 22 de noviembre de 2022 en la que estimó la demanda y declaró el derecho de la actora a acumular a su prestación de maternidad ya reconocida otras once semanas adicionales de prestación por parto múltiple y cuidado de menores por su condición de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dicha sentencia el INSS interpuso recurso de suplicación alegando como único motivo de revisión jurídica la infracción de normas sustantivas previsto en el art. 193 c) de la Ley 36/2011, de 10 de octubre, reguladora de la jurisdicción social (LRJS). La representación de la trabajadora impugnó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223/2023, de 20 de marzo, dictada por la Sala de lo Social del Tribunal Superior de Justicia de Aragón se estimó el recurso de suplicación revocando la sentencia dictada por el Juzgado de lo Social núm. 3, desestimando la pretensión deducida por la actora con absolución del INSS, sin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expone que la Sala, en las sentencias de 27 de diciembre de 2021 (ECLI:ES:TSJAR:2021:1255), 6 de abril de 2022 (ECLI:ES:TSJAR:2022:645) y 14 de febrero de 2022 (ECLI:ES:TSJAR:2022:224), había estimado la pretensión de la trabajadora de acumular a su prestación de maternidad, otras diez semanas adicionales de prestación por nacimiento y cuidado de menores por su condición de familia monoparental. Sin embargo, razona que debía cambiar de criterio atendida la reciente STS 169/2023, de 2 de marzo (ECLI:ES:TS:2023:783), que revoca la sentencia dictada por la Social del Tribunal Superior de Justicia del País Vasco el día 6 de octubre de 2020 (ECLI:ES:TSJPV:2020:396), cuya fundamentación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que se declare vulnerado el derecho a la igualdad (art. 14 CE) y la nulidad de la sentencia dictada por la Sala de lo Social del Tribunal Superior de Justicia de Aragón y la firmeza de la sentencia del Juzgado de lo Social núm. 3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tras referirse al contenido de las resoluciones recaídas en el procedimiento, sostiene que las familias biparentales que reúnan los requisitos para tener derecho a las prestaciones de maternidad y paternidad pueden atender el cuidado de hijo durante veintiséis semanas, si lo disfrutan de forma sucesiva y a tiempo completo y no concurre causa de ampliación.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señala que en las mismas circunstancias de ejercicio una familia monoparental únicamente puede disfrutar de dieciséis semanas para dedicarse plenamente al cuidado del hijo, lo que plantea una posible desigualdad de trato entre ambos modelos de familia en cuanto a que los hijos e hijas —o menores— puedan recibir los cuidados necesarios independientemente de que tengan uno o dos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normativa aplicable e indica que el derecho de paternidad es individual de la persona trabajadora sin que pueda transferirse su ejercicio al otro progenitor y que en el caso de las familias monoparentales existen criterios distintos en orden a la posibilidad de que se conceda la ampliación del permiso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aun cuando no exista apoyo legislativo es de aplicación el Convenio sobre los derechos del niño al existir una quiebra del principio de igualdad correspondiente a dicha prestación. Se refiere a la observación general 14 del Comité de los Derechos del Niño de Naciones Unidas y al principio de primacía del interés superior del menor en todas las medidas o decisiones que le afecten, tanto desde su perspectiva como derecho sustantivo, como principio interpretativo fundamental y como norma de procedimiento. Destaca que dicho principio ha sido consagrado por la jurisprudencia, europea y nacional, como criterio preferente de interpretación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la doctrina del Tribunal Constitucional elaborada en relación con el derecho de igualdad y refiere que si se parte de la rechazable discriminación del menor por su propia condición o por el estado civil o situación de su progenitor, cuando introducimos un período de cuidado y atención para el grupo de hijos o hijas monoparentales, estamos no solamente mermando la atención que en las familias biparentales se presta, sino que también introducimos un sesgo que quebranta el desarrollo del niño, al quedar atendido menos tiempo y con menor implicación personal de quien ha sido considerado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siendo de directa aplicación, y en cuanto la normativa nacional quiebra esa igualdad, el Convenio sobre los derechos del niño, entiende que corresponde la prestación 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los derechos de conciliación y vida familiar reciben un trato dispar entre personas que partiendo del mismo supuesto, integración de la dinámica de la producción en la de reproducción, quedan protegidas en mayor forma que al integrarse en dinámicas de familia monoparental. Razona que la suspensión del contrato de trabajo tiene una repercusión dentro de la actividad empresarial, pero la integración en un solo progenitor de la acumulación de todo el período de suspensión aglutina toda la suspensión en un solo trabajador, pero no deja de ser el mismo disfrute que cuando nos encontramos ante una dualidad de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por el hogar monoparental no delimita un vínculo diferente de filiación determinante del cuidado y atención del menor y sus propios derechos. Por tanto, es posible afirmar una quiebra del principio de igualdad del art. 14 CE. No reconocer este derecho a una familia monoparental y a quienes forman parte de esta unidad familiar representa una discriminación por indiferenciación por parte de la actual redacción del art. 48 del texto refundido de la Ley del estatuto de los trabajadores, aprobado por el Real Decreto Legislativo 2/2015, de 23 de octubre (LET) y también una vulneración del derecho a la no discriminación por razón de sexo de las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21 de octubre de 2024 acordó la admisión a trámite del recurso al apreciar que su contenido justificaba una decisión sobre el fondo por parte del Tribunal por su especial trascendencia constitucional [art. 50.1 de la Ley Orgánica del Tribunal Constitucional (LOTC)], como consecuencia de que la posible vulneración del derecho fundamental que se denuncia pudiera provenir de la ley o de otra disposición de carácter general [STC 155/2009, de 25 de junio, FJ 2 c)]. Acordó igualmente dirigir atenta comunicación a la Sala de lo Social del Tribunal Superior de Justicia de Aragón y al Juzgado de lo Social núm. 3 de Zaragoza, a fin de que, en plazo que no excediera de diez días, remitiesen certificación o fotocopia adverada de las actuaciones correspondientes, debiendo emplazar a quienes hubieran sido parte en el procedimiento, excepto la parte recurrente en amparo, para que en el plazo de diez días pudieran comparecer en el recurso de amparo,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diciembre de 2024 la representación procesal de la demandante presentó sus alegaciones en las que hizo referencia a la reciente STC 140/2024, de 6 de diciembre, en la que estimó la cuestión de inconstitucionalidad promovida por la Sala de lo Social del Tribunal Superior de Justicia de Cataluña en relación con el art. 48, apartados 4, 5 y 6, del texto refundido de la Ley del estatuto de los trabajadores (LET), aprobado por Real Decreto Legislativo 2/2015, de 23 de octubre, en conexión con el art. 177 del texto refundido de la Ley general de la Seguridad Social (LGSS), aprobado por el Real Decreto Legislativo 8/2015,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enero de 2025, el Ministerio Fiscal interesó la estimación del recurso de amparo y que se declare la nulidad de la sentencia de 20 de marzo de 2023 del Tribunal Superior de Justicia de Aragón y confirmar la sentencia del Juzgado de lo Social núm. 3 de Zaragoza de 22 de noviembre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aplicable la doctrina constitucional expuesta en la STC 150/2024, de 2 de diciembre, que resuelve el recurso de amparo núm. 1845-2024 en la que se aplica la doctrina constitucional fijada en la STC 140/2024, y consiguientemente estimar la vulneración del derecho a la igualdad ante la ley sin discriminación por razón de nacimiento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detiene el fiscal en efectuar un examen del alcance del recurso de amparo a fin de justificar únicamente la nulidad de la sentencia del Tribunal Superior de Justicia de Aragón de 20 de marzo de 2023, que revocó la sentencia de 22 de noviembre de 2022 del Juzgado de lo Social que reconocía “el derecho de la actora a acumular a su prestación de maternidad ya reconocida, otras once semanas adicionales de prestación por nacimiento parto múltiple y cuidado de menores por su condición de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examina la regulación relativa a la ampliación del permiso de once semanas en caso de parto múltiple prevista en el art. 48.6 LET antes y después de la modificación operada por el 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 e indica que la sentencia de instancia, en aplicación de la normativa vigente sobre la materia, otorgó una ampliación del permiso de once semanas, las que se distribuyen en diez semanas, que serían las que les correspondían al otro progenitor, tal como declaró la doctrina constitucional mencionada, y una semana adicional por nacimiento múltiple, conforme a la normativa vigente (Real Decreto-ley 6/2019, de 1 de marzo, de medidas urgentes para garantía de la igualdad de trato y de oportunidades entre mujeres y hombres en el empleo y la ocupación) en el momento del nacimiento de los menores que tuvo lugar el día 7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del secretario de la Sección Tercera de 21 enero de 2025, se hizo constar haberse recibido los precedentes escritos de alegaciones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febrero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223/2023, de 20 de marzo, dictada por la Sala de lo Social del Tribunal Superior de Justicia de Aragón, por la que se estima el recurso de suplicación núm. 17-2023, revocando la sentencia dictada por el Juzgado de lo Social núm. 3 de Zaragoza y desestimando la pretensión deducida por la actora con absolución del INSS, ha ocasionado a la demandante una vulneración del derecho a la igualdad (art. 14 CE) al aplicar el art. 48.4 y 6 del texto refundido de la Ley del estatuto de los trabajadores (LET), en relación con el art. 177 del texto refundido de la Ley general de la Seguridad Social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y 6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 sentencia dictada por la Sala de lo Social del Tribunal Superior de Justicia de Aragón, declarando la firmeza de la sentencia núm. 280/2022, de 22 de noviembre, del Juzgado de lo Social núm. 3 de Zaragoza, en autos de Seguridad Social en materia prestacional núm. 632-2022, al ser esta última acorde con el pronunciamiento de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concretamos en la referida STC 140/2024,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Noelia Velarte Lahoz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núm. 223/2023, de 20 de marzo, dictada por la Sala de lo Social del Tribunal Superior de Justicia de Aragón, por la que se estima el recurso de suplicación núm. 17-2023, quedando firme la sentencia núm. 280/2022, de 22 de noviembre, del Juzgado de lo Social núm. 3 de Zaragoza, en autos de Seguridad Social en materia prestacional núm. 632-2022.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