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474-2024, promovido por doña Sandra Sagredo Ruiz, representada por el procurador de los tribunales don Fernando Rodríguez-Jurado Saro y bajo la dirección del letrado don Eusebio Ángel Navazo Velaures, contra la sentencia núm. 1282/2023 , de 21 de diciembre de 2023, dictada por la Sala de lo Social del Tribunal Supremo, que estimó el recurso de casación para unificación de doctrina núm. 4499-2022, interpuesto contra la sentencia núm. 541/2022, de 21 de julio, dictada por la Sala de lo Social del Tribunal Superior de Justicia de Castilla y León, que estimó el recurso de suplicación núm. 446-2022 y revocó la sentencia núm. 88/2022, de 21 de febrero, dictada por el Juzgado de lo Social núm. 2 de Burgos, en autos de Seguridad Social en materia prestacional núm. 58-2022, que a su vez había desestimado la demanda interpuesta contra el Instituto Nacional de la Seguridad Social y la Tesorería General de la Seguridad Social. Ha intervenido el Ministerio Fiscal. Se han personado y formulado alegaciones el Instituto Nacional de la Seguridad Social y la Tesorería General de la Seguridad Social.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enero de 2024, doña Sandra Sagredo Ruiz, con la representación y defensa indicadas, interpuso recurso de amparo contra la sentencia 1282/2023 dictada el 21 de diciembre de 2023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hija el 16 de septiembre de 2021 en el seno de una familia monoparental, solicitó la prestación por nacimiento y cuidado de la menor que le fue reconocida por resolución del Instituto Nacional de la Seguridad Social (INSS) con efectos de 16 de septiembre de 2021 y con una duración hasta el 5 de enero de 2022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desestimada la solicitud de ampliación del permiso en otras dieciséis semanas por ser familia monoparental y la posterior reclamación previa en vía administrativa, interpuso una demanda contra el INSS y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Social núm. 2 de Burgos dictó sentencia el 21 de febrero de 2022 en la que desestimó la demanda y absolvió al INSS y a la TGSS de las pretensiones ejercitas en la misma. En su argumentación la sentencia se refiere al contenido de los artículos que regulan la prestación solicitada [arts. 177 y 178 del texto refundido de la Ley general de la Seguridad Social (LGSS), aprobado por el Real Decreto Legislativo 8/2015, de 30 de octubre, y art. 48.4 del texto refundido de la Ley del estatuto de los trabajadores (LET), aprobado por el Real Decreto Legislativo 2/2015, de 23 de octubre, en la redacción dada por el Real Decreto-ley 6/2019, de 1 de marzo, de medidas urgentes para garantía de la igualdad de trato y de oportunidades entre mujeres y hombres en el empleo y la ocupación]. Destaca que la finalidad de la reforma del art. 48.4 LET es garantizar la igualdad de trato y de oportunidades entre mujeres y hombres en el empleo y la ocupación, así como el principio de corresponsabilidad entre ambos progenitores. En el caso de familia biparental para que el otro progenitor distinto de la madre tenga derecho a la prestación, es preciso que reúna los requisitos de cotización del art. 178 LGSS, de modo que al progenitor de una familia biparental que no los reúna no se le concederá el permiso de paternidad, sin que por ello se aprecie discriminación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dicha sentencia la demandante interpuso recurso de suplicación alegando como único motivo de revisión jurídica la infracción de normas sustantivas previsto en el art. 193 c) de la Ley 36/2011, de 10 de octubre, reguladora de la jurisdicción social. La parte contraria impugnó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núm. 541/2022, de 21 de julio, dictada por la Sala de lo Social del Tribunal Superior de Justicia de Castilla y León, se estimó el recurso de suplicación revocando la sentencia dictada por el Juzgado de lo Social núm. 2 de Burgos y declarando el derecho de la demandante a disfrutar de un total de veintiséis semanas, añadiendo de este modo diez semanas a las inicialmente concedidas.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que debe efectuarse una interpretación del art. 48 LET conforme a lo acuerdos y tratados internacionales ratificados por España, y en concreto a lo dispuesto en el art. 3.1 de la Convención sobre los derechos del niño y el art. 24.2 de la Carta de derechos fundamentales de la Unión Europea. Alude a la necesidad de proteger el interés del menor debiendo ser interpretadas las normas en materia de protección de la maternidad y paternidad conforme al principio de protección integral de los hijos (art. 39.4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la doctrina constitucional relativa a la prohibición de discriminación y apunta a que el especial cuidado de la persona recién nacida que supone la suspensión del contrato de trabajo puede alcanzar las veintiuna semanas si no nace en una familia monoparental. Pues, en este caso la protección para su cuidado solo alcanza las dieciséis semanas. Lo cual supone un trato diferencial a quien nace en una familia monoparental, sin que exista justificación objetiva de esta diferencia de trato. Para evitar esa desigualdad es preciso la atribución de otras diez semanas a sumar a las ya reconocidas.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sentencia se interpuso por el INSS y la TGSS recurso de casación para la unificación de doctrina, que fue estimado por sentencia de la Sala de lo Social del Tribunal Supremo de 21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sobre dicha cuestión el Pleno de la Sala de lo Social ya ha tenido ocasión de pronunciarse en la STS 169/2023, de 2 de marzo.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realidad era conocida por el legislador. En tal sentido,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artículo 48.4 LET en el siguiente sentido: “en el supuesto de familias monoparentales, la persona trabajadora podrá acumular el tiempo de permiso que correspondería a la otra persona trabajadora si la hubiera” (“Diario Oficial del Senado” de 8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la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y a prohibición de discriminación (art. 14 CE), así como la nulidad de la sentencia dictada por la Sala de lo Social del Tribunal Supremo y se restablezca a la recurrente en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 decisión denegatoria de la ampliación de permiso a la familia monoparental ocasiona tres tipos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Discriminación indirecta respecto de la mujer: afirma que la falta de igualdad efectiva de la mujer está íntima, aunque no exclusivamente, relacionada con el nacimiento del hijo. En las familias monoparentales lideradas por mujeres en un 81,40 por 100 en el año 2020, la situación es más dramática, por lo que la norma incurre en discriminación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en relación con los fundamentos de conciliación de la vida familiar y laboral. Las responsabilidades de cuidado son una de las causas principales de vulnerabilidad en las familias monoparentales y exige la adopción de políticas diseñadas para promover la conciliación de trabajo-familia. La Constitución protege igualmente a las estructuras familiares integradas por un progenitor solo y su progenie, independientemente de cuál sea la causa originaria de la monoparentalidad. En el ámbito laboral no se otorga un tratamiento específico a las familias monoparentales. La discriminación surge de imponer a las familias monoparentales un tratamiento distinto para necesidades que son básicamente las mismas que en las familias no monoparentales. No existe motivo alguno que la justifique, ni siquiera la libertad que cada cual tiene para elegir formar una familia en pareja o estando solo o las dificultades presupuestarias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Discriminación en relación con la protección de los niños. La denegación de la acumulación de los dos períodos de suspensión maternal en una unidad monoparental perjudica, sin duda alguna, el derecho del recién nacido a ser cuidado y atendido en igualdad de tiempo que aquellos otros que han nacido en una unidad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Superior de Justicia de Castilla y León y al Juzgado de lo Social núm. 2 de Burgos,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 de diciembre de 2024, una vez tenida por personada y parte a la letrada de la administración de la Seguridad Social en nombre y representación del INSS y de la TGSS, esta presentó sus alegaciones en las que solicitaba que, en el supuesto de estimación del recurso, se dicte sentencia de acuerdo con lo establecido en la STC 140/2024, de 6 de noviembre,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se refiere a los antecedentes del proceso de los que trae causa el recurso de amparo, a la concreta solicitud efectuada por la recurrente y a la regulación de la prestación de nacimiento y cuidado de menor en la Ley general de la Seguridad Social y en la Ley del estatuto de los trabajadores tras la reforma efectuada por el Real Decreto-ley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atendida la interpretación auténtica de la voluntad del legislador, la regulación del Real Decreto-ley 6/2019 no atenta en modo alguno contra el principio de igualdad, pues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ascendientes y descendientes y otras personas a cargo”, como reza el art. 68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configurado de este modo el derecho, la corresponsabilidad puede ser asumida por el otro progenitor si es que existe, o por un tercero, en el caso de que no lo haya, pero lo que no existe es un derecho absoluto ni a la suspensión de la relación laboral durante más tiempo del establecido legalmente, ni mucho menos a la prestación de Seguridad Social si no se cumplen los requisitos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a la vista de lo resuelto por el Tribunal Constitucional en la STC 140/2024 por la que ha decidido estimar la cuestión de inconstitucionalidad núm. 6694-2023 y, en consecuencia, ha declarado inconstitucionales los arts. 48.4 LET y 177 LGSS, se ratifica en las alegaciones realizadas a lo largo de todo el procedimiento y en todo caso, habrá que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enero de 2024, el Ministerio Fiscal interesó la estimación del recurso de amparo por vulneración del derecho fundamental a la igualdad ante la ley por razón de nacimiento (art. 14 CE) y que se declare la nulidad de la sentencia 1282/2023 de 21 de diciembre de la Sala de lo Social del Tribunal Supremo dictada en el recurso de casación para la unificación de doctrina núm. 4499-2022 y declarar la firmeza de la sentencia 541/2022, de 21 de julio, del Tribunal Superior de Justicia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procede la estimación del recurso, pues al aplicar los arts. 48.4 LET y 177 LGSS, recientemente declarados inconstitucionales (STC 140/2024, de 6 de noviembre) las resoluciones impugnadas han producido la discriminación prohibida por el art. 14 CE, tanto de la demandante de amparo por constituir a una familia monoparental, (por razón del modelo de familia), como del hijo por razón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detiene a examinar el alcance del pronunciamiento e indica que pese a lo solicitado en la demanda de amparo,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realiza la sentencia 541/2022 de 21 de julio del Tribunal Superior de Justicia de Castilla y León, es coincidente en lo esencial con la ya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dicha sentencia 541/2022 acuerda el reconocimiento de diez semanas adicionales a las dieciséis iniciales —hasta un total de veintiséis semanas— y en la propia demanda de la recurrente se solicita el reconocimiento de un total de veintiséis semanas, coincidente con dicha sentencia del Tribunal Superior de Justicia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INSS solicitaba en el recurso de casación que se dictara una sentencia que declare que la sentencia recurrida quebranta la unidad de doctrina, casándola, anulándola y sustituyéndola por otra más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del secretario de la Sección Tercera de 21 enero de 2025, se hizo constar haberse recibido los precedentes escritos de alegaciones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febrero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núm. 1282/2023, de 21 de diciembre, dictada por la Sala de lo Social del Tribunal Supremo, que estimó el recurso de casación para unificación de doctrina núm. 4499-2022, interpuesto contra la sentencia núm. 541/2022, de 21 de julio, dictada por la Sala de lo Social del Tribunal Superior de Justicia de Castilla y León, ha ocasionado a la demandante una vulneración del derecho a la igualdad (art. 14 CE) al aplicar el art. 48.4 LET, en relación con el art. 177 LGSS, en la redacción dada a los mismos por el Real-Decreto-ley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 sentencia núm. 1282/2023, de 21 de diciembre, dictada por la Sala de lo Social del Tribunal Supremo, que estimó el recurso de casación para unificación de doctrina núm. 4499-2022 y —como indica el fiscal en sus alegaciones— declarar la firmeza de la sentencia núm. 541/2022, dictada el 21 de julio por la Sala de lo Social del Tribunal Superior de Justicia de Castilla y León al ser esta última acorde con el pronunciamiento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Sandra Sagredo Ruiz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núm. 1282/2023, dictada el 21 de diciembre por la Sala de lo Social del Tribunal Supremo, que estimó el recurso de casación para unificación de doctrina núm. 4499-2022, declarando la firmeza de la sentencia núm. 541/2022, dictada el 21 de julio por la Sala de lo Social del Tribunal Superior de Justicia de Castilla y León, que estimó el recurso de suplicación núm. 446-2022.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