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4406-2024, promovido por don Gheorghe Bortas, contra los autos de 1 de marzo, 24 de abril y 6 y 29 de mayo de 2024, dictados por la Sección Segunda de la Audiencia Provincial de Navarra en la ejecutoria penal núm. 7-2023. Ha sido parte Multiservicios Covianca, S.L.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Gheorghe Bortas, representado por la procuradora de los tribunales doña Mercedes Espallargas Carbó y asistido de la abogada doña Mónica González Crespo, interpuso recurso de amparo contra las resoluciones que se mencionan en el encabezamiento, mediante escrito presentado en el registro electrónico de este tribunal el 12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en sentencia núm. 131/2021, de 16 de junio, de la Sección Segunda de la Audiencia Provincial de Navarra, como autor de un delito de estafa agravada por el valor de la defraudación a una pena de prisión de dos años, multa de ocho meses con una cuota diaria de seis euros (1440 €), y al pago a Multiservicios Covianca, S.L., empresa perjudicada y acusación particular en el procedimiento, de 160 395,10 €,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Firme la sentencia desde el 7 de diciembre de 2022, la Sección Segunda de la Audiencia Provincial de Navarra, en la ejecutoria núm. 7-2023, por auto de 20 de febrero de 2023, aclarado por auto del día 24, acordó la suspensión de la ejecución de la pena de prisión por un plazo de cinco años, a condición de que el penado satisficiese el total de 161 835,10 € (la suma de la responsabilidad civil y la multa), en plazos de 10 114,69 € mensuales. La resolución motivaba el plazo de cinco años de suspensión atendiendo a la gravedad de los hechos y disponía ese fraccionamiento de la cantidad total, a la vista de que el plazo máximo legal para abonar la multa no podía exceder de dos años (art. 50.6 del Código penal: CP) y de que las reglas de imputación de pagos otorgaban preferencia a la indemnización frente a la multa (art. 126.1.1 y 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curso de la ejecutoria se suscitó la cuestión de la revocación de la suspensión de la ejecución de la pena de prisión de dos años impuesta en dos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primera ocasión la Sección Segunda de la Audiencia Provincial de Navarra, tras oír a las partes (a la representación procesal del penado en escritos de 22 y 31 de mayo y de 2 de junio de 2023), resolvió la cuestión en sentido negativo mediante auto de 9 de junio de 2023. La resolución constataba que el penado había desatendido parte de los pagos y que la cantidad satisfecha ascendía a 25 114,69 €, por lo que, no siendo dicha cantidad simbólica, sino relevante a efectos de abonar la responsabilidad civil, no se justificaba “una medida tan gravosa como la revocación del beneficio concedido y ordenar el ingreso en prisión”. En la parte dispositiva del auto se requería al penado, a través de su representación procesal, para que se ajuste al calendario de pagos fijado por esta Sala, debiéndose poner al día de los impagos existentes en el “plazo máximo de tres meses […], bajo apercibimiento de que, caso de no ajustarse al calendario de pagos y ponerse al día, podrá procederse a revocar el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penado, en escrito de 23 de octubre de 2023, aportó justificantes de ingresos por importe de 14 000 € de los meses de julio, agosto y septiembre de 2023. Y, en escrito de 21 de diciembre de 2023, aportó justificantes afirmando haber realizado, el 5 y 19 de diciembre de 2023, dos transferencias por una suma total de 6000 € que habían sido devueltas por causas que no le eran imputables.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segunda ocasión la Sección Segunda de la Audiencia Provincial de Navarra acordó revocar la suspensión pero, con anterioridad a dicha decisión, el órgano judicial requirió al penado, a través de su representación procesal,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15 de enero de 2024 se le requirió para que en el plazo máximo de quince días procediese “al pago del importe total de la cantidad de responsabilidad civil pendiente de pago, bajo apercibimiento expreso de revocación de la suspensión de la pena de prisión”. Su representación procesal, en escrito de 7 de febrero de 2024, reiteró las alegaciones sobre las transferencias fallidas, alegó haber abonado el 30 por 100 de la responsabilidad civil desde el inicio de la obligación de pago en abril de 2023, de modo que, con tales datos y debiéndose “haber hecho el pago total antes del transcurso de dos años […] sería desproporcionado y carente de fundamento exigir el pago total inmediato de la cantidad y la revocación de la suspensión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19 de febrero de 2024, y también por providencia de la misma fecha y con idéntico tenor, se le requirió para que, “en el plazo improrrogable de cinco días”, se pusiera al día en el calendario de pagos, con obligación, en caso de existir problemas con la cuenta de ingreso, de “consignar dicha cantidad en la cuenta de depósitos y consignaciones de esta audiencia”. Su representación procesal, en escrito de 28 de febrero de 2024, solicitó “la continuidad en los pagos parciales” en su día establecidos y reputó improcedente “la reclamación a mi mandante del pago, en una sola vez y con carácter inmediato, del total importe que a fecha de hoy se adeuda, ni desde luego la revocación de la suspensión de la pena privativa de libertad”. La defensa reiteró que se le estaba exigiendo el pago total antes del transcurso de los dos años, que había abonado 42 114,69 €, aproximadamente el 30 por 100 de la responsabilidad civil, con lo que quedaba patente su voluntad de pagar, y la dificultad de hacer frente a la deuda de una sola vez por falta liquidez, que tampoco podría conseguir con la venta de su vivienda, puesto que estaba embargada, “y en cualquier caso, si pudiera, se quedaría en la calle”. Además, citaba la STC 32/2022, de 7 de marzo, alegando que la sentencia dictaminaba que no se podía revocar la suspensión sin haber “oído personalmente al reo en una vista contradictoria”, y que el incumplimiento del compromiso de pago no implicaba la revocación automática de la suspensión, sino que exigía “comprobar la paralela capacidad económica para satisfacerlo, de manera que la suspensión de la pena no puede quedar condicionada al pago de una condena civil si no hay capacidad real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Segunda de la Audiencia Provincial de Navarra, por auto de 1 de marzo de 2024, resolvió revocar “el beneficio de la suspensión concedido, salvo que en el plazo de un mes” abone “los plazos pendientes para ponerse al día”. La decisión se justificaba en que los impagos eran graves y reiterados, a pesar de haberse concedido al penado la oportunidad de ponerse al día en el primer auto de 9 de junio de 2023 desestimatorio de la revocación. “[E]l penado no cumple con lo ordenado, siendo que a fecha febrero de 2024 de los 121 376,28 € que debería haber abonado, tan solo había ingresado 41 114,69 €; siendo el total impuesto en sentencia de 161 835,04 €. […] aun cuando fueran ciertas las alegadas devoluciones de transferencias y contabilizado el último pago de 3000 € de febrero, el penado está muy lejos de cumplir los plazos fijados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auto revocatorio de la suspensión la representación procesal del penado, en escrito de 12 de marzo de 2024, interpuso recurso de súplica. Se alegaba, como se alegó en los escritos anteriores atendiendo a los requerimientos del tribunal, que la entrada en prisión significaría el cese inmediato en la obtención de ingresos en perjuicio de los intereses de la víctima, que se vulneraba el art. 17 CE, que no concurrían los requisitos de la ya citada doctrina constitucional para revocar la suspensión, que hasta marzo de 2024 se habían abonado 45 114,69 €, por lo que “el Sr. Bortas ni ha incumplido su obligación de pago ni desde luego se pueden calificar de graves y reiteradas las irregularidades que hayan podido acaecer, que además tuvieron su origen en errores del banco”, “resulta desproporcionado y carente de fundamento exigir el pago total inmediato para la puesta al día del calendario de 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y la acusación particular se opusieron al recurso y la Sección Segunda de la Audiencia Provincial de Navarra, por auto de 24 de abril de 2024, lo desestimó, dado que “pese al tiempo transcurrido y las diversas oportunidades dadas, el penado ha abonado 41 114,69 € […], lo que supone un tercio de la cantidad que hasta la fecha debía haber abonado según el fraccionamiento acordado, siendo que la suma de responsabilidad civil y multa asciende a 161 835,04 €. […] las alegaciones en relación a la dificultad de pago y errores de terceros de las transferencias […] carecen de soporte probatorio”; el incumplimiento se calificaba de grave y se decía que suponía “nuevamente un perjuicio a los particulares estafados”.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26 de abril de 2024 se concedió al penado hasta el día 6 de mayo para ingresar de forma voluntaria en centro penitenciario, “para lo cual deberá acudir el 6 de mayo a las doce horas en dependencias judiciales apercibiéndole a través de su representación procesal de que en caso contrario y sin más trámite se dictará orden de busca e ingreso en prisión a las fuerzas de seguridad del estado”. Constatada la incomparecencia en la fecha señalada y que no “consta[ba] en actuaciones domicilio conocido”, la Sección Segunda de la Audiencia Provincial de Navarra, por auto de 6 de mayo de 2024, acordó su “llamamiento, búsqueda, detención e ingreso en prisión mediante requisitoria […] para el cumplimiento de la pena dos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requisitoria la representación procesal del penado, en escrito de 14 de mayo de 2024, interpuso recurso de súplica para que se dejase sin efecto, reiterando que no se cumplían los requisitos de la revocación y alegando que su mantenimiento causaría la pérdida de sentido del recurso de amparo que iba a interponer frente a la resolución revocatoria.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y la acusación particular se opusieron al recurso y la Sección Segunda de la Audiencia Provincial de Navarra, por auto de 29 de mayo de 2024, lo desestimó, dado que no era “el momento de volver a plantear la cuestión de los plazos y de la revocación del beneficio, por ser esta cuestión ya resuelta”, de modo que “ante la falta de ingreso voluntario, se ha ordenado por medio del auto que ahora se recurre y que se limita a dar cumplimiento efectivo y real a lo ya resuelto en auto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las resoluciones que decidieron y confirmaron la revocación de la suspensión y las que, en ejecución de dicha revocación, acordaron su llamamiento mediante requisitoria, vulneraron su derecho a la tutela judicial efectiva (art. 24.1 CE) en relación con el derecho a un proceso con todas las garantías (art. 24.2 CE) y el derecho a la libertad (art. 17.1 CE). Al inicio de la demanda se cita la vulneración del art. 17 CE, pero solo nominalmente al no ofrecerse ninguna argumentación específica para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reitera las alegaciones efectuadas ante la Audiencia Provincial relativas al cumplimiento regular de su obligación de pago, al perjuicio del crédito que se derivaría del ingreso en prisión, a la ausencia de transcurso del plazo de dos años para el abono total de la responsabilidad civil y a la falta de audiencia personal y de consideración a las circunstancias concurrentes y a las condiciones de solvencia del penado. Con cita extensa de las SSTC 32/2022, de 7 de marzo, y 39/2024, de 11 de marzo, el recurrente justifica la lesión de sus derechos en que “la resolución que acuerda la revocación del beneficio de suspensión de la pena privativa de libertad no ha sido notificad[a] personalmente al penado y porque ni se le ha concedido al debido trámite de audiencia ni se ha adoptado medida alguna con la finalidad de conocer la actual y verdadera capacidad económica del Sr. Bortas para hacer frente a las cuantías que debe abonar en virtud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con la petición de que se reconozca que se le han vulnerado sus derechos y de que se anulen los autos impugnados con retroacción de las actuaciones al momento anterior al “auto de 24 de abril de 2024” (sic). En el otrosí segundo de la demanda se solicita que se suspenda cautelarmente la requisitoria expedida.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del Tribunal Constitucional, mediante providencia de 9 de julio de 2024: (i) admitió a trámite la demanda al apreciar que concurre en el recurso una especial trascendencia constitucional como consecuencia de que el órgano judicial pudiera haber incurrido en una negativa manifiesta del deber de acatamiento de la doctrina de este tribunal [STC 155/2009, de 25 de junio, FJ 2 f)]; (ii) acordó dirigirse a la Sección Segunda de la Audiencia Provincial de Navarra para que remitiese, en plazo que no excediera de diez días, certificación o fotocopia adverada de las actuaciones correspondientes a la ejecutoria penal núm. 7-2023 y para que emplazase a quienes hubiesen sido parte en el procedimiento, excepto al recurrente en amparo, a fin de que pudieran comparecer en el recurso en el plazo de diez días; y (iii) suspendió de forma cautelarísima (art. 56.6 LOTC) la ejecución de la requisitoria adoptada y confirmada, respectivamente, en los autos de 6 y 29 de mayo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Sección Cuarta de la Sala Segunda de este tribunal, recibidas las actuaciones el 16 de julio de 2024, mediante diligencia de ordenación de 19 de septiembre de 2024, tuvo por personada y parte a Multiservicios Covianca, S.L., representada por el procurador don Miguel José Leache Resano, y acordó, conforme a lo dispuesto en el art. 52.1 LOTC, dar vista de las actuaciones a las partes personadas y al Ministerio Fiscal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Multiservicios Covianca, S.L., solicitó la desestimación del recurso de amparo en su escrito presentado el 18 de octubre de 2024. Se alega que solo se había abonado el 25 por 100 de la responsabilidad civil, que desde febrero de 2024 no había recibido ningún pago y que “como puede verse, el auto de 1 de marzo de 2024 se encuentra sólidamente fundamentado no solo en la gravedad y reiteración de los incumplimientos por parte del condenado, quien, a pesar de las numerosas advertencias y oportunidades otorgadas, no cumplió con los pagos de la responsabilidad civil, sino también en la falta de justificación de los concretos motivos del impago dados por el condenado acerca de unos supuestos problemas técnicos, y ello sin que se hubiera acreditado que el incumplimiento estuviera relacionado con alguna imposibilidad de pago por motivos de su capacidad económica”. Al contrario, “de la información que consta en la ejecutoria, se desprende que el condenado es socio y dueño de una empresa […] posee bienes inmuebles y un coche, lo que refuerza la idea de que tiene capacidad económica. Simplemente echando un vistazo a internet puede verse que los beneficios empresariales del penado fueron de nada menos que 548 899 € en el año 2022, a lo que habría que sumar sus beneficios en el año 2023 y 2024, lo que claramente [pone] de manifiesto la capacidad económica del condenado para cumplir con los pagos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notificación personal —continúa— no causó al penado ninguna indefensión, dado que el art. 182 LECrim permite notificar las resoluciones judiciales a los procuradores, como fue el caso, “sin que exista precepto legal alguno que imponga la obligación de notificar personalmente al penado el auto de revocación de la suspensión de la ejecución de la pena de prisión”. El condenado tuvo múltiples oportunidades de alegación y las ejerció en sucesivos escritos, donde alegó “todo lo que consideró oportuno, sin que pueda confundirse derecho de audiencia con celebración de vista oral, y sin que en cualquier caso se hubiera solicitado nunca tal vista, y sin que tampoco existan otras circunstancias que así lo justifiquen” (cursiva en el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su escrito presentado el 7 de noviembre de 2024, interesa la estimación del recurso de amparo por vulneración del derecho a la tutela judicial efectiva (art. 24.1 CE), en relación con el derecho a la libertad (art. 17.1 CE), así como el derecho a un proceso con todas las garantías (art. 24.2 CE), con retroacción de las actuaciones al momento inmediatamente anterior al dictado del auto de 1 de marzo de 2024 a fin de que se dicte otra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primer término, constata la ausencia de autonomía de la lesión del art. 17 CE, así como la infracción del principio de subsidiariedad del recurso de amparo por no haberse invocado formalmente en el proceso, tan pronto como el recurrente tuvo la oportunidad [art. 44.1 c) LOTC], la violación del derecho a un proceso con todas las garantías por falta de notificación personal al penado del auto de revocación de la suspensión. Esta falta de notificación, que no se alegó pudiendo hacerlo desde el recurso de súplica de 12 de marzo de 2024, tampoco causa, a juicio del fiscal, indefensión material al haberse entendido todas las actuaciones con la representación procesal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para el fiscal se vulnera el derecho a un proceso con todas las garantías derivado del incumplimiento del trámite de audiencia (STC 32/2022, FJ 3), porque, “si bien es cierto que en los diferentes escritos presentados [por la representación procesal de la defensa] se efectúan alegaciones sobre las causas del retraso/impago del recurrente, no existe una resolución material ni formal de cumplimiento del trámite previsto en el art. 86.4 CP, inmediatamente anterior a la revocación, sino una sucesión de requerimientos de pago con apercibimientos ocasionales de las consecuencias en caso de desatención. No se celebra, pues, ese incidente contradictorio —con audiencia del condenado ahora recurrente— para debatir sobre las causas del incumplimiento del calendario de pagos establecido, no negado por el recurrente, lo que no permitía al juez tener los elementos de juicio necesarios. Teniendo en cuenta, además, que el recurrente había sido citado eficazmente por medio de un correo electrónico que constaba en las actuaciones. Y en cuanto a la vista oral que previene el art. 86.4 CP, aunque su celebración depende del órgano judicial nada se dice sobre las razones que determinan su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considera vulnerado el derecho a la tutela judicial efectiva en relación con el derecho a la libertad, debido a que las resoluciones impugnadas no cumplen con las exigencias de motivación reforzada derivadas de la doctrina constitucional de ponderar la capacidad económica del condenado (SSTC 184/2023, de 11 de diciembre, FFJJ 2 y 3, y 39/2024, de 11 de marzo, FJ 4). Las resoluciones impugnadas —afirma el fiscal— “aluden reiteradamente a los incumplimientos y a las diversas oportunidades de regularización de los atrasos en los plazos concedidos”, pero no “a la eventual solvencia o falta de capacidad económica para hacer frente a esos pagos”. Tampoco consta la práctica de “diligencia alguna para ponderar aquella capacidad de pago ni tampoco para evaluar si las causas del impago se debían o no a la imposibilidad económica”. Además, la revocación se produce “cuando aún no ha terminado el plazo de suspensión de cinco años —ni siquiera de dos años para el pago de la multa— [y] si bien es cierto que no se cumplían los pagos en las cuantías y los plazos fijados, no deja de ser significativo el carácter prematuro del pronunciamiento judicial —en ausencia de más comprobaciones de capacidad, como hemos dicho— en torno al incumplimiento de la obligación pecuniaria, disponiendo el recurrente de sesenta meses para su pago y que la suspensión no expiraría antes del día 20 de febrero de 2028. El auto de 1 de marzo de 2024 anticipa el momento en que debía efectuarse aquel examen según su propio pronunciamiento”. Por último, el fiscal, consciente del límite de dos años de aplazamiento de la multa (art. 50.6 CP) y de las reglas de imputación de pagos (art. 126 CE), entiende “que este plazo no puede constreñir el fijado para el pago de la responsabilidad civil que es en función de la capacidad económica, además de que, en caso de una eventual aplicación de la responsabilidad personal subsidiaria, las consecuencias del régimen de suspensión de la pena privativa de libertad, podrían hacer innecesario la observancia de dicho plazo en relación con satisfacción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febrero de 2025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de la STC 32/2022, de 7 de marzo, FJ 4: “Motivación de las decisiones de revocación de la suspensión de la ejecución de una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delimitación del objeto del presente recurso de amparo está íntimamente relacionada con la causa de especial trascendencia constitucional por la que este se admitió, consistente en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exigencias de certeza y buena administración de justicia de explicitar dicha causa (STEDH de 20 de enero de 2015, Arribas Antón c. España, § 46), el Tribunal constató, en lo que se refiere a la negativa de acatamiento apreciada con relación a la vulneración del art. 24.1 CE en relación con el art. 17.1 CE, que el recurrente invocó expresamente ante la Sección Segunda de la Audiencia Provincial de Navarra la doctrina establecida en la STC 32/2022, de 7 de marzo, FJ 4, relativa a la motivación de las decisiones de revocación de la suspensión de la ejecución de una pena privativa de libertad. La invocó, en particular, en su escrito de 28 de febrero de 2024 anterior a la revocación y en su escrito de recurso de súplica de 12 de marzo de 2024 que fue desestimado. La Audiencia, en lugar de atender, conforme a la doctrina invocada, a la capacidad económica del penado para valorar el carácter justificado o voluntario del impago, eludió cualquier consideración al respecto, lo que “constituye un supuesto de lo que el Tribunal viene considerando una negativa manifiesta implícita”, como se dijo en la STC 78/2024, de 20 de mayo, FJ único b), al estimar un recurso de amparo con el mismo objeto y concurrencia de igual causa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presente recurso de amparo tiene por objeto determinar si las resoluciones impugnadas en las que se acordó y confirmó la revocación, por el impago de la responsabilidad civil, de la suspensión de la ejecución de la pena de prisión de dos años impuesta al recurrente vulneraron su derecho a la tutela judicial efectiva (art. 24.1 CE)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de la STC 32/2022, FJ 4, ha sido aplicada por las SSTC 184/2023, de 11 de diciembre, 39/2024, de 11 de marzo, 70/2024, de 6 de mayo, 78/2024, de 20 de mayo, y 122/2024, de 21 de octubre. En la síntesis de la STC 39/2024, FJ 3, “[e]sta doctrina exige que la motivación de la revocación, en este supuesto, analice de modo específico la capacidad económica del penado referida al momento de adoptar la decisión revocatoria, que habrá de razonar sobre el carácter injustificado del impago o sobre si existe una situación de imposibilidad material que lo impida, en cuyo caso no procederá la revocación. Los derechos y fines involucrados en esta clase de decisiones: la incidencia en la libertad de las personas, la finalidad reeducativa y de reinserción social inherente a las alternativas al cumplimento de penas privativas de libertad —entre ellas, la suspensión y su eventual revocación—, y el derecho a no sufrir discriminación en el acceso a estas alternativas en función de la capacidad económica, así lo imponen. Y también se desprende de la salvedad prevista en el art. 86.1 d) CP que, tras disponer como motivo de revocación que el penado ‘no dé cumplimiento al compromiso de pago de las responsabilidades civiles a que hubiera sido condenado’, excepciona: ‘salvo que careciera de capacidad económica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enjuiciado, comenzando por el análisis del auto de revocación de 1 de marzo de 2024, debe decirse que este se limitó a contabilizar las cantidades abonadas y debidas en concepto de responsabilidad civil, aseverando que los impagos eran graves y reiterados y que ya se había dado al penado la oportunidad de ponerse al día, tras el auto de 9 de junio de 2023, que desestimó el primer incidente en que se suscitó la cuestión de la posible revocación de la suspensión de la pena privativa de libertad. Se decía también que, aun admitiendo sus alegaciones sobre las transferencias fallidas, el penado estaba “muy lejos de cumplir los plazos fijados en sentencia”. El auto de 24 de abril de 2024, que desestimó el recurso de súplica del recurrente, solo añadió que las dificultades de pago y los errores en las transferencias carecían de soporte probatorio, el incumplimiento se calificaba de grave y se decía que suponía “nuevamente un perjuicio a los particulares estafados”.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comprueba de este modo que la motivación de la revocación contravino la doctrina de la STC 32/2022, FJ 4, pues tal motivación se hizo descansar en las oportunidades de pago concedidas y no aprovechadas, en el cumplimiento irregular de los plazos, en el perjuicio del acreedor y en un pronóstico de incumplimiento. No se razonó sobre la capacidad económica del penado ni sobre si su falta de pago se debía a una situación de imposibilidad material o si obedecía a una voluntad rebelde al cumplimiento de la obligación. La desatención a la capacidad económica se desprende, además, del hecho de haberse dado por vencida la deuda antes del transcurso del plan de pagos aprobado por el órgano judicial con el simple argumento de que el penado no cumpliría con el calendario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que las resoluciones de revocación impugnadas vulneraron el derecho a la tutela judicial efectiva (art. 24.1 CE) en relación con el derecho a la libertad personal (art. 17.1 CE) del recurrente, al no haber cumplido con las exigencias de motivación específica o reforzada de la STC 32/2022, FJ 4, de analizar la capacidad económica del penado en el momento de acordar la revocación para así valorar el carácter injustificado del impago o su imposibilidad.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consecuencia, el recurso debe estimarse [art. 53 a) LOTC] y, conforme a lo dispuesto en el art. 55.1 LOTC, debe reconocerse la vulneración del derecho a la tutela judicial efectiva en relación con el derecho a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restablecer el derecho se acuerda, en primer lugar, anular las resoluciones atinentes a la revocación, así como las actuaciones posteriores dirigidas a la ejecución de la pena de prisión impuesta al recurrente, en particular, las concernientes a la expedición de la requisitoria. Asimismo, se acuerda retrotraer las actuaciones al momento anterior al dictado del auto de 1 de marzo de 2024 para que, por la Sección Segunda de la Audiencia Provincial de Navarra, se dicte una nueva resolución respetuosa con el derecho fundamental reconocido. Dada la exigencia de la STC 32/2022, FJ 4, de atender a la capacidad económica del penado referida al momento de adoptar la decisión revocatoria, la nueva decisión que se adopte pasará por los trámites del art. 86.4 CP a la vista del tiempo transcurrido entre la revocación anulada y el dictado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Gheorghe Bortas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y reconocer que ha sido vulnerado su derecho a la tutela judicial efectiva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1 de marzo, 24 de abril, 6 y 29 de mayo de 2024, dictados por la Sección Segunda de la Audiencia Provincial de Navarra en la ejecutoria penal núm. 7-2023, y de todas las actuaciones posteriores dirigidas a la ejecución de la pena de prisión impuesta al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auto de 1 de marzo de 2024 para que, por la Sección Segunda de la Audiencia Provincial de Navarra,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