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18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7035-2023, promovido por doña Eva Rosado Fuentes contra la resolución de 18 de marzo de 2020 del Instituto Nacional de la Seguridad Social, por la que se desestima la reclamación previa interpuesta contra la resolución de 31 de enero de 2020, denegando la ampliación de la prestación por nacimiento y cuidado del hijo menor como madre biológica de familia monoparental; la sentencia de 15 de febrero de 2022 del Juzgado de lo Social núm. 2 de Málaga (autos núm. 531-2021); la sentencia de 28 de septiembre de 2022 de la Sala de lo Social del Tribunal Superior de Justicia de Andalucía, con sede en Málaga, (recurso de suplicación núm. 696-2022) y el auto de 26 de septiembre de 2023 de la Sala de lo Social del Tribunal Supremo (recurso de casación para la unificación de doctrina núm. 5082-2022). Han intervenido el letrado de la administración de la Seguridad Social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noviembre de 2023, la procuradora de los tribunales doña Marta Payá Nadal, en nombre y representación de doña Eva Rosado Fuentes, asistida del abogado don José Manuel Vilchez Díez, interpuso recurso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Eva Rosado Fuentes es madre biológica de un niño, nacido el 28 de noviembre de 2019, con quien forma una familia monoparental. Por resolución de 31 de enero de 2020 del Instituto Nacional de la Seguridad Social (en adelante INSS) se le reconoció el derecho a la prestación por maternidad durante dieciséis semanas. El 5 de febrero de 2020 formuló reclamación previa interesando la revisión de la prestación ya obtenida, reclamando su ampliación en dieciséis semanas más, es decir, añadiendo al período ya reconocido uno idéntico al que hubiera correspondido al segundo progenitor en el supuesto de una familia biparental. La reclamación previa fue desestimada por resolución de 18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desestimación de su reclamación de revisión de la prestación, doña Eva Rosado Fuentes formuló demanda ante la jurisdicción social, que fue desestimada por sentencia de 15 de febrero de 2022 del Juzgado de lo Social núm. 2 de Málaga (autos núm. 531-2021).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contra dicha sentencia recurso de suplicación, que fue desestimado por sentencia de 28 de septiembre de 2022 de la Sala de lo Social del Tribunal Superior de Justicia de Andalucía, con sede en Málaga (recurso de suplicación núm. 696-2022).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suplicación la demandante interpuso recurso de casación para la unificación de doctrina (núm. 1495-2023), que fue inadmitido mediante auto de 26 de septiembre de 2023 de la Sala de lo Social del Tribunal Supremo (recurso de casación para la unificación de doctrina núm. 5082-2022). Se razona en este auto que la Sala ya ha resuelto, en sentencia de 2 de marzo de 2023, reiterada en otras posteriores, que las familias monoparentales no tienen derecho a la acumulación de prestaciones aquí solicitada, ya que ni se establece en la ley vigente (arts. 48.4 LET y 177 y ss.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este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las resoluciones administrativas y judiciales referenciadas, por entender que han incurrido en vulneración del derecho garantizado en el art. 14 CE,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afirma que, como consecuencia de la aplicación literal por las resoluciones impugnadas en amparo de lo dispuesto en el art. 48.4 del texto refundido de la Ley del estatuto de los trabajadores (en adelante LET), en relación con el art. 177 del texto refundido de la Ley general de la Seguridad Social (en adelante LGSS), en la redacción dada por el Real Decreto-ley 6/2019, de 1 de marzo,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2024, la Sección Cuarta de este tribunal acordó admitir a trámite el presente recurso apreciando que concurría en él la especial trascendencia constitucional que exige el 50.1 de la Ley Orgánica del Tribunal Constitucional (en adelante,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y salas del Tribunal Superior de Justicia y del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Solicitado por el letrado de la administración de la Seguridad Social su personación en nombre del INSS y de la Tesorería General de la Seguridad Social, mediante diligencia de ordenación del secretario de justicia de la Sala Segunda de este tribunal de 4 de diciembre de 2024 se acordó tenerle por personado y parte y dar vista de las actuaciones recibidas a las partes personadas y al Ministerio Fiscal, por plazo común de veinte días, a fin de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enero de 2025 la representación procesal de la demandante presentó su escrito de alegaciones, poniendo de manifiesto que debe proyectarse al presente asunto lo resuelto en la STC 140/2024, de 6 de noviembre, que estima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enero de 2025 el letrado de la administración de la Seguridad Social presentó sus alegaciones, solicitando que, en el supuesto de estimación del recurso de amparo, se dicte sentencia conforme con lo señalado en la reciente STC 140/2024, de 6 de noviembre, dictada en la cuestión de inconstitucionalidad núm. 6694-2023 y se retrotraigan las actuaciones para que el INSS dicte nueva resolución administrativa, que resulte respetuosa con el derecho de la recurrente y de la normativa aplicable. Señala específicamente que ha de limitarse la ampliación del permiso y de la correspondiente prestación por nacimiento y cuidado del menor a ocho semanas, al producirse el nacimiento del menor en el año 2019, de acuerdo con lo previsto en la disposición transitoria decimotercera de la Ley del estatuto de los trabajadores relativa a la aplicación paulatina del art. 48 LET, en la redacción dada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31 de enero de 2025 el Ministerio Fiscal interesó la estimación del recurso de amparo, en aplicación de lo resuelto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con fecha 18 de marzo de 2025, dictó providencia en la que acuerda, a propuesta de su presidente,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marzo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Asimismo,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Eva Rosado Fuentes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resolución del Instituto Nacional de la Seguridad Social de 18 de marzo de 2021; de la sentencia de 15 de febrero de 2022 dictada por el Juzgado de lo Social núm. 2 de Málaga en los autos núm. 531-2021; de la sentencia de 28 de septiembre de 2022 dictada por la Sala de lo Social del Tribunal Superior de Justicia de Andalucía, con sede en Málaga, en el recurso de suplicación núm. 696-2022; y del auto de 26 de septiembre de 2023 de la Sala de lo Social del Tribunal Supremo que inadmite el recurso de casación para la unificación de doctrina núm. 5082-2022, presentado contra la anterior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18 de marzo de 2021, a fin de que, en los términos expuestos en el último párrafo del fundamento jurídico único de la presente sentencia, se dicte otra respetuosa con el derecho de la recurrente cuya vulneración ha sido declarada, en los términos señalados en el último párrafo del fundamento único.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Cádiz, a dieciocho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