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5760-2024 promovido por doña Cristina Victoria Asenjo Gismero, ha dictado, con ponencia de la magistrada doña Laura Díez Bueso,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22 de julio de 2024, la procuradora de los tribunales doña Alicia Suau Casado, en nombre y representación de doña Cristina Victoria Asenjo Gismero, bajo la dirección letrada de doña Aída Casanova Pérez, interpuso recurso de amparo contra: las resoluciones presuntas del Instituto Nacional de la Seguridad Social (INSS) y la Tesorería General de la Seguridad Social (TGSS) que le denegaron la solicitud de ampliación de la prestación por nacimiento y cuidado de su hija menor como madre biológica de familia monoparental; la sentencia núm. 409/2022, de 24 de noviembre, del Juzgado de lo Social núm. 45 de Madrid (autos núm. 671-2022), que desestimó la demanda interpuesta contra el INSS y TGSS en reclamación de tal ampliación; la sentencia núm. 551/2023-C, de la Sala de lo Social del Tribunal Superior de Justicia de Madrid, de 16 de junio, que desestimó el recurso de suplicación núm. 76-2023, y el auto por el que la Sala de lo Social del Tribunal Supremo lo inadmite, de 22 de mayo de 2024 (recurso de casación para unificación de doctrina núm.4188-2023), que fue tramitado con el núm. 5760-2024 por la Sala Segunda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75/2025, de 24 de marzo, en la que, tras declarar vulnerado el derecho fundamental a la igualdad ante la ley sin que proceda discriminación por razón de nacimiento (art. 14 CE), se acordó para su restauración la nulidad de las resoluciones judiciales impugnadas y la retroacción de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único de la sentencia, se dictara una resolución expresa respetuosa con el derecho fundamental vulnerado. A esos efectos, en el último párrafo del fundamento jurídico único se establecía que, en tanto el legislador no llevara a cabo la consiguiente reforma normativa, en las familias monoparentales el permiso a que hace referencia el art. 48.4 de la Ley del estatuto de los trabajadores (LET), y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letrada de la administración de la Seguridad Social, por escrito registrado el 15 de abril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letrada fundamenta su petición, tras exponer los antecedentes fácticos que considera relevantes, en que la normativa reguladora de la prestación controvertida condiciona su reconocimiento a que el menor no haya cumplido los doce meses, plazo que ya se habría superado en este caso. Ante esta dificultad jurídica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