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1084-2024, promovido por doña Irakusne Goiriena Ugarte,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16 de febrero de 2024, la procuradora de los tribunales doña doña María Esperanza Azpeitia Calvín, en nombre y representación de doña Irakusne Goiriena Ugarte, bajo la dirección letrada de doña Nerea Arroyo Bustos, interpuso recurso de amparo contra la sentencia núm. 176/2022, de 3 de mayo, dictada por el Juzgado de lo Social núm. 1 de Bilbao en autos núm. 77-2021, que desestimó la demanda interpuesta por la ahora recurrente frente al Instituto Nacional de Seguridad Social (INSS) y la Tesorería General de la Seguridad Social (TGSS) frente a la resolución dictada por el INSS de 23 de diciembre de 2020, que a su vez desestimó la reclamación previa planteada frente a la resolución del mismo organismo fechada el 8 de mayo de 2020, recurso de amparo que fue tramitado con el núm. 1084-2024 por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149/2024, de 2 de diciembre,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 resolución del INSS de 8 de mayo de 2020, a fin de que, en los términos expuestos en el último párrafo del fundamento jurídico 3, se dictara otra respetuosa con el derecho fundamental reconocido. A esos efectos, en el último párrafo del fundamento jurídico 3 se establecía que, en tanto el legislador no lleve a cabo la consiguiente reforma normativa, en las familias monoparentales el permiso a que hace referencia el art. 48.4 del texto refundido de la Ley del estatuto de los trabajadores, aprobado por el Real Decreto Legislativo 2/2015, de 23 de octubre (LET) y en relación con el art. 177 del texto refundido de la Ley general de la Seguridad Social aprobado por el Real Decreto Legislativo 8/2015, de 30 de octubre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administración de la Seguridad Social, por escrito registrado el 14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19 de febrero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marzo de 2025 la representación procesal de doña Irakusne Goiriena Ugarte presentó escrito en el que solicita el dictado de una resolución respetuosa con el derecho vulnerado. Sostiene, en síntesis, que la única opción que permite el cumplimiento íntegro y pleno de la sentencia de este tribunal es que, además del abono de la prestación, se disponga la posibilidad de que se disfrute del permiso pese a que el menor haya cumplido doce meses, única a su juicio que resulta respetuosa con el fallo y espíritu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13 de mayo de 2025 el Pleno del Tribunal dictó el ATC 34/2025, en el que inadmitió el incidente de ejecución planteado por la administración de la Seguridad Social respecto a la STC 88/2025, de 7 de abril (recurso de amparo avocado núm. 5220-2024), estimatoria de un recurso de amparo planteado sobre la misma materia que es objeto de la sentencia dictada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circunstancia que no se ve alterada por lo expuesto en el escrito presentado el 12 de marzo de 2025 por doña Irakusne Goiriena Ugarte.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