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9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6644-2024, promovido por doña María del Castellar García García,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11 de septiembre de 2024, la procuradora de los tribunales doña doña Alicia Suau Casado, en nombre de doña María del Castellar García García, y bajo la dirección letrada de doña Aida Casanova Pérez, interpuso recurso de amparo contra contra la denegación por silencio administrativo del Instituto Nacional de la Seguridad Social (INSS) de su solicitud de ampliación de la prestación por nacimiento y cuidado de hijo menor a la madre biológica de familia monoparental, y de la reclamación administrativa previa que formuló; contra la sentencia núm. 425/2022, de 22 de noviembre, dictada en el procedimiento especial de Seguridad Social núm. 802-2022, tramitado en el Juzgado de lo Social núm. 23 de Madrid, desestimatoria de la demanda que interpuso frente al INSS y la Tesorería General de la Seguridad Social (TGSS); contra la sentencia núm. 779/2023, de 15 de septiembre, dictada por la Sección Primera de la Sala de lo Social del Tribunal Superior de Justicia de Madrid en el recurso núm. 80-2023, desestimatoria del recurso de suplicación interpuesto por la demandante frente a la sentencia de primera instancia; y contra el auto de inadmisión de 10 de julio de 2024, dictado por la Sala de lo Social del Tribunal Supremo en el recurso de casación para unificación de la doctrina núm. 4549-2023, recurso de amparo que fue tramitado con el núm. 6644-2024 por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80/2025, de 24 de marzo, en la que, tras declarar vulnerado el derecho fundamental a la igualdad ante la ley sin discriminación por razón de nacimiento (art. 14 CE) de hijo menor en familia monoparental, se acordó para su restauración la nulidad de las resoluciones judiciales impugnadas y la retroacción de las actuaciones a fin de que el Instituto Nacional de la Seguridad Social dicte, en respuesta a la solicitud de la recurrente de revisión de la prestación concedida, una resolución expresa respetuosa con el derecho fundamental reconocido a la recurrente, con el alcance fijado en el último párrafo del FJ 2. A esos efectos, en el último párrafo del FJ 3 se establecía que, en tanto el legislador no lleve a cabo la consiguiente reforma normativa, en las familias monoparentales el permiso a que hace referencia el art. 48.4 de la Ley del estatuto de los trabajadores (LET), y en relación con el art. 177 de la Ley general de la Seguridad Social (LGSS), ha de ser interpretado en el sentido de adicionarse al permiso del primer párrafo para la madre biológica (dieciséis semanas), el previsto en el segundo para progenitor distinto, de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15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21 de abril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mayo de 2025 el Pleno del Tribunal dictó auto en el que inadmitió el incidente de ejecución instado por la administración de la Seguridad Social respecto a la STC 88/2025, de 7 de abril, estimatoria del recurso de amparo avocado núm. 5220-2024, planteado sobre la misma materia que es objeto de la sentencia dictada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34/2025, del Pleno, de 13 de mayo,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