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7 de julio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6078-2023, promovido por doña Laura Yoldi Sada, ha dictado, con ponencia del magistrado don Juan Carlos Campo Moreno,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22 de septiembre de 2023, doña Laura Yoldi Sada, representada por la procuradora de los tribunales doña Alicia Suau Casado y bajo la dirección de la letrada doña Aída Casanova Pérez, interpuso recurso de amparo contra la resolución del Instituto Nacional de la Seguridad Social (INSS) de 2 de septiembre de 2021; contra la desestimación, por silencio negativo, de la reclamación previa formulada frente a aquella; contra la sentencia 169/2022, de 6 de abril, dictada por el Juzgado de lo Social núm. 2 de Pamplona —autos núm. 886-2021— y la sentencia 271/2022, de 21 de julio, dictada por la Sala de lo Social del Tribunal Superior de Justicia de Navarra, —recurso de suplicación núm. 263-2022—, que confirmaron las resoluciones administrativas; y contra el auto de 12 de julio de 2023, dictado por la Sala de lo Social del Tribunal Supremo —recurso de casación para la unificación de doctrina núm. 4255-2022—, que inadmitió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147/2024, de 2 de diciembre, en la que, tras declarar vulnerado el derecho fundamental a la igualdad ante la ley sin que proceda discriminación por razón de nacimiento (art. 14 CE), se acordó para su restauración la nulidad de las resoluciones administrativa y judiciales impugnadas y la retroacción de las actuaciones al momento previo al dictado de la resolución de 2 de septiembre de 2021, a fin de que, en los términos expuestos en el último párrafo del fundamento jurídico tercero, se dictara otra respetuosa con el derecho fundamental reconocido. A esos efectos, en dicho párrafo se establecía que, en tanto el legislador no llevara a cabo la consiguiente reforma normativa, en las familias monoparentales el permiso a que hace referencia el art. 48.4 de la Ley del estatuto de los trabajadores (y en relación con él, la prestación regulada en el art. 177 de la Ley general de la Seguridad Social),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de la Seguridad Social, por escrito registrado el 4 de marzo de 2025, formuló incidente de ejecución al amparo del art. 92.3 de la Ley Orgánica del Tribunal Constitucional (LOTC) instando al Tribunal que determine las medidas necesarias para que el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Recientemente, por ATC 34/2025, de 13 de mayo, del Pleno de este tribunal, dictado en el recurso de amparo núm. 5220-2024, a cuya fundamentación nos remitimos, se ha denegado la admisión de la apertura del incidente de ejecución de la STC 88/2025, de 7 de abril, propuesto en términos idénticos por la Administración de la Seguridad Social. El Tribunal Constitucional ha reiterado que para activar un incidente de ejecución conforme al artículo 92 LOTC es imprescindible que exista una actuación previa de la administración o del órgano judicial que suponga una contravención o incumplimiento (total o parcial) de una resolución del propio Tribunal, de modo que el incidente de ejecución no puede utilizarse con fines consultivos. Ello determina que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