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7 de julio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2016-2024, promovido por doña Marta Pérez Martín, ha dictado, con ponencia del magistrado don Juan Carlos Campo Moreno,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marzo de 2024, doña Marta Pérez Martín, representada por la procuradora de los tribunales doña María Esperanza Azpeitia Calvin y asistida por la letrada doña Maider Katti Aguirre Lizarraga, interpuso recurso de amparo contra las resoluciones de 22 de marzo de 2021 y de 3 de junio de 2021, del director provincial de Bizkaia del Instituto Nacional de la Seguridad Social, que desestimaron la petición y reclamación previa dirigidas a la revisión y ampliación de la prestación por nacimiento y cuidado de hijo menor, como madre de familia monoparental; la sentencia núm. 530/2021, de 21 de octubre, del Juzgado de lo Social núm. 11 de Bilbao, dictada en los autos núm. 713-2021; la sentencia núm. 1461/2022, de 12 de julio, de la Sala de lo Social del Tribunal Superior de Justicia del País Vasco, dictada en el recurso de suplicación núm. 306-2022; y la sentencia núm. 248/2024, de 8 de febrero, de la Sala de lo Social del Tribunal Supremo, dictada en el recurso de casación para la unificación de doctrina núm. 4856-2022, que estimó el recurso presentado por la representación del Instituto Nacional de la Seguridad Social y la Tesorería General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9/2025, de 13 de enero, en la que, tras declarar vulnerado el derecho fundamental a la igualdad ante la ley sin que proceda discriminación por razón de nacimiento (art. 14 CE), se acordó para su restauración la nulidad de las resoluciones administrativas y judiciales impugnadas y la retroacción de las actuaciones al momento previo al dictado de la resolución de 3 de junio de 2021, a fin de que, en los términos expuestos en el último párrafo del fundamento jurídico segundo, se dictara otra respetuosa con el derecho fundamental reconocido. A esos efectos, en dicho párrafo se establecía que, en tanto el legislador no llevara a cabo la consiguiente reforma normativa, en las familias monoparentales el permiso a que hace referencia el art. 48.4 de la Ley del estatuto de los trabajadores (y en relación con él, la prestación regulada en el art. 177 de la Ley general de la Seguridad Social),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18 de febrero de 2025, formuló incidente de ejecución al amparo del art. 92.3 de la Ley Orgánica del Tribunal Constitucional (LOTC) instando al Tribunal que determine las medidas necesarias para que el Instituto Nacional de la Seguridad Social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Recientemente, por ATC 34/2025, de 13 de mayo, del Pleno de este tribunal, en el recurso de amparo núm. 5220-2024, a cuya fundamentación nos remitimos, se ha denegado la admisión de la apertura del incidente de ejecución de la STC 88/2025, de 7 de abril, propuesto en términos idénticos por la Administración de la Seguridad Social. El Tribunal Constitucional ha reiterado que para activar un incidente de ejecución conforme al artículo 92 LOTC es imprescindible que exista una actuación previa de la administración o del órgano judicial que suponga una contravención o incumplimiento (total o parcial) de una resolución del propio Tribunal, de modo que el incidente de ejecución no puede utilizarse con fines consultivos. Ello determina que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