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5788-2024, promovido por doña Nuria Pérez Agapito, ha dictado, con ponencia de la magistrada doña María Luisa Balaguer Callejón,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julio de 2024, doña Nuria Pérez Agapito, representada por la procuradora de los tribunales doña María Isabel Torres Ruiz y asistida por la letrada doña Silvia Montserrat Vázquez Rigual, interpuso recurso de amparo contra las resoluciones del Instituto Nacional de la Seguridad Social (INSS) de 5 de agosto y 16 de noviembre de 2021, que desestimaron la petición y reclamación previa dirigidas a la revisión y ampliación de la prestación por nacimiento y cuidado de hijo menor, como madre de familia monoparental, así como frente a la sentencia núm. 856/2024, de 4 de junio, de la Sala de lo Social del Tribunal Supremo (recurso de casación para la unificación de doctrina núm. 2462-2023), que las confirmó.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76/2025, de 24 de marzo,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pronunciamiento de las resoluciones administrativas anuladas, a fin de que, con el alcance fijado en el fundamento jurídico segundo, el INSS dictase una resolución expresa que resultase respetuosa con el derecho fundamental reconocido a la recurrente. A esos efectos, en dicho fundamento jurídico la STC 76/2025 se remitía a la STC 140/2024, de 6 de noviembre, en cuyo fundamento jurídico 7 se estableció que, en tanto el legislador no llevara a cabo la consiguiente reforma normativa, en las familias monoparentales el permiso a que hace referencia el art. 48.4 de la Ley del estatuto de los trabajadores (y en relación con él, la prestación regulada en el art. 177 de la Ley general de la Seguridad Social),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13 de mayo de 2025, formuló incidente de ejecución al amparo del art. 92.3 de la Ley Orgánica del Tribunal Constitucional (LOTC) instando al Tribunal que determine las medidas necesarias para que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ATC 34/2025, de 13 de mayo, dictado en el recurso de amparo núm. 5220-2024, a cuya fundamentación nos remitimos, el Pleno reiteró que para activar un incidente de ejecución conforme al artículo 92 LOTC es imprescindible que exista una actuación previa de la administración o del órgano judicial que suponga una contravención o incumplimiento (total o parcial) de una resolución de este tribunal. De modo que el incidente de ejecución no puede utilizarse con fines consultivos.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se constata que este tribunal ya estableció la obligación del INSS de dictar una nueva resolución respetuosa con el derecho fundamental reconocido a la recurrente en los términos fijados por el fundamento jurídico 2 de su STC 76/2025, de 24 de marzo. La Administración de la Seguridad Social, sin embargo, vuelve a instar la promoción del incidente sin que concurra el presupuesto formal para su tramitación, debiendo por ello denegar también en este caso su apertura.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