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25 de mayo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6797-2025, promovido por don Víctor Jaile Puig y doña María Carmen Flores Auge contra un auto de 14 de julio de 2025 por el que se desestima un incidente de nulidad de actuaciones promovido en el marco del procedimiento de ejecución de títulos judiciales núm. 59-2025, derivado del juicio monitorio núm. 200-2024, ambos seguidos ante el Juzgado de Primera Instancia núm. 3 de Eivissa,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septiembre de 2025 tuvo entrada en el registro general de este Tribunal Constitucional un escrito del procurador don José Luis Aguado Baños, en representación de don Víctor Jaile Puig y de doña María Carmen Flores Auge, asistidos por el letrado don Albert Ruyra Baliarda. En ese escrito se formuló demanda de amparo contra el auto 531/2025, de 14 de julio, dictado en la pieza de incidente excepcional de nulidad de actuaciones núm. 5-2025, derivada del procedimiento de ejecución de títulos judiciales núm. 59-2025, procedente —a su vez— del juicio monitorio núm. 200-2024, seguidos todos ellos ante el Juzgado de Primera Instancia núm. 3 de Eivissa. Por medio de esa resolución se desestimó el incidente de nulidad de actuaciones planteado respecto de la diligencia de ordenación dictada el 5 de abril de 2024 en el juicio monitorio reseñado, en la que se acordó la notificación edictal a la parte demandada —ahora recurrente—, y todas las actuaciones subsiguientes, incluido el ulterior procedimiento de ejecución de títulos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núm. 3 de Eivissa se ha seguido el procedimiento de juicio monitorio núm. 200-2024, a instancias de la comunidad de propietarios en régimen de multipropiedad del conjunto residencial Aldea Bonsái, contra los ahora recurrentes, en reclamación de cantidades supuestamente adeudadas en concepto de gastos comunitarios.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demanda presentada se indicó como domicilio de los entonces demandados el ubicado en la calle “Casanova, 118 5-6 esc[alera] dcha., CP 08036-Barcelona”, por “tratarse del domicilio de su residencia habitual y designado por la parte demandada como propio y, en consecuencia, hábil para recibir este tipo de notificaciones”. Practicada en ese inmueble la notificación de la demanda y del requerimiento de pago correspondiente, esta dio resultado negativo. Según consta en la diligencia practicada el 6 de marzo de 2024, el conserje informó que esas personas “residían en el 5-C”, pero que ese piso está “actualmente alquilado a ciudadanos extranjeros”, señalando que los demandados “se mudaron a la calle Mallorca”, en Barcelona, ignorando el domicilio exacto.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Ante esta información, en fecha 5 de abril de 2024 se dictó —sin más trámites ni actuación alguna— una diligencia de ordenación en la que se dispuso “de conformidad con lo dispuesto en el art. 815.2 LEC, notificar el requerimiento de pago a la deudora en la forma prevista en el artículo 164 LEC, a través del tablón judicial edictal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medio de decreto de 3 de junio de 2024 se acordó el archivo del juicio monitorio, ante la incomparecencia de la parte demandada, quedando abierta la vía ejecutiva que fue efectivamente instada por la parte demandante, lo que dio lugar al procedimiento de ejecución de títulos judiciales núm. 59-2025.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el marco de ese procedimiento de ejecución de títulos judiciales, se volvió a intentar la notificación de la demanda y el consiguiente requerimiento de pago en el domicilio inicialmente indicado por la parte demandante. La diligencia —practicada el 11 de abril de 2025— resultó igualmente negativa, haciéndose constar que el conserje informó que los demandados ya no vivían en ese inmueble porque lo tenían alquilado, desconociendo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Ante esta información, en fecha 29 de abril de 2025 se dictó una diligencia de ordenación en la que se acordó “practicar consulta domiciliaria a través del PNJ [punto neutro judicial], en orden a llevar a cabo la notificación de la presente ejecución”. La consulta ofreció como resultado la existencia de un nuevo domicilio, sito en “carrer Mallorca, núm. 171, portal SA, [puerta] 2, Barcelona”. Por medio de diligencia de ordenación de 30 de abril de 2025 se acordó llevar a cabo la notificación en ese domicilio, con resultado positivo, siendo recogida en fecha 20 de mayo de 2025 por doña María Carmen Flores Auge, como codemandada y como esposa del otro codemandado. Fue entonces cuando, a partir de la personación y toma de conocimiento de todo lo actuado, la representación procesal de los ahora recurrentes promovió un incidente de nulidad de actuaciones, suscrito el 27 de mayo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el incidente de nulidad de actuaciones, registrado bajo el núm. 5-2025 del mismo juzgado, se alegó expresamente la vulneración del derecho a la tutela judicial efectiva sin indefensión (art. 24.1 CE), invocando la STC 176/2009, de 16 de julio, dado que el juzgado había acordado la notificación por edictos sin que previamente hubiera realizado diligencia alguna para la averiguación del domicilio de la parte demandada. En el escrito se solicitaba la nulidad de todo lo actuado en el juicio monitorio desde la diligencia de ordenación de 5 de abril de 2024, así como las actuaciones subsiguientes, por haberse tramitado el procedimiento sin su conocimiento, causándole una efectiva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incidente fue desestimado por el Juzgado de Primera Instancia núm. 3 de Eivissa mediante el auto 531/2025, de 14 de julio, ahora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resolución, el juzgado hizo una reseña del art. 228 de la Ley de enjuiciamiento civil (LEC), para luego desestimar la pretensión conforme al siguiente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las notificaciones y citaciones de la parte demandada en el proceso monitorio se intentaron en el domicilio facilitado por la parte actora, concretamente en el inmueble propiedad de la misma de la que tenía conocimiento la propia comunidad, comunicación que resultó negativa, procediéndose en consecuencia a su citación edictal, dictándose finalmente decreto poniendo fin al proceso monitorio, instando la demandante ejecución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que formula la solicitud de nulidad de actuaciones no acredita que por la parte actora se conociera o dispusiera de otro domicilio de la demandada a efecto de notificaciones más allá del propio inmueble donde se intentó la notificación, de lo que se deriva la ausencia de conocimiento por la parte actora de la comunicación por la demandada de un domicilio distinto en el que practicar cualquier tipo de notificación o citación, de tal forma que la notificación negativa, en tal caso, conlleva su emplazamiento por medio de edictos, tal y como tuvo lugar, en los términos previstos por el artículo 815.2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del derecho a la tutela judicial efectiva (art. 24.1 CE), dado que el órgano judicial acudió al emplazamiento y notificación edictal sin agotarse previamente las posibilidades razonables de notificación personal, privando a los recurrentes de su derecho a ser oídos y a defenderse en el proceso, según la doctrina del Tribunal Constitucional, con cita y amplia reseña de la STC 176/2009.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exposición detallada de los antecedentes fácticos que consideran de interés, los recurrentes argumentan que el juzgado pudo haber realizado una mínima actividad indagatoria a través de los registros públicos correspondientes, como dispone el art. 156 LEC, lo que no hizo, permitiendo de esta manera que el juicio monitorio prosiguiera inaudita parte, sin darles la oportunidad de ejercer la oposición o de defender sus intereses. Señalan que no tuvieron conocimiento extraprocesal de la tramitación y que la actuación judicial les ha causado una efectiva y real indefensión, no imputable a los recurrentes. Una vez conocida la existencia del procedimiento y solicitada la nulidad de las actuaciones, el juzgado no reparó la lesión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del recurso, entre otros motivos, en que el órgano judicial habría incurrido en una negativa manifiesta del deber de acatamiento de la doctrina de este tribunal [STC 155/2009, de 25 de junio, FJ 2 f)], que le fue oportunamente invocada en el escrito de promoción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la suspensión de la ejecución de la resolución impugnada y la consiguiente paralización del procedimiento de ejecución de títulos judiciales núm. 59-2025, seguido ante el Juzgado de Primera Instancia núm. 3 de Eivissa, derivado del procedimiento de juicio monitorio núm. 200-2024. Alega, a tal efecto, el “riesgo […] [de] perjuicios graves de imposible o difícil reparación para mis mandantes, dado que la ejecución dejaría sin finalidad o haría ineficaz el presente recurso de amparo, quedando vacío de contenido. La solicitud de suspensión se fundamenta en la pérdida de objeto y utilidad del recurso en caso de ejecutarse la resolución, siempre que no concurra perturbación grave de interés constitucionalmente protegido ni menoscabo de derechos fundamentales de terceros. El Tribunal Constitucional, conforme a reiterada doctrina, debe ponderar el interés de los demandantes en la salvaguarda de su derecho fundamental con el interés general y la eficacia de la resolución recurrida, adoptando la medida más adecuada para la protección provisional e instrumental de la finalidad legítima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providencia de la Sección Segunda de fecha 23 de febrero de 2026,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155/20009, FJ 2 f)]”. Además, en la misma resolución se decidió la formación de pieza separada de suspensión. En fecha 23 de febrero de 2026 se acordó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27 de febrero de 2026 tuvo entrada el escrito de alegaciones de los recurrentes. En el mismo se reitera la pretensión expuesta en la demanda inicial, basada en que la continuación de la tramitación del procedimiento de ejecución de títulos judiciales genera un riesgo de causarles perjuicios graves de imposible o difícil reparación. Aunque se admite que se trataría de perjuicios de carácter económico, se considera que la ejecución provocará una carga adicional como pueda ser el embargo de bienes o una eventual vía de apremio. En todo caso, la suspensión solicitada no causaría una perturbación grave del interés general ni un menoscabo de los derechos de terceros. Finalmente, se argumenta que concurre la apariencia de buen derecho, teniendo en cuenta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no ha presentado escrito de alegaciones en el plazo concedido a tal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los recurrentes, conforme a los argumentos ya reseñados, y concretada en la suspensión de la ejecución de la resolución impugnada y la consiguiente paralización del procedimiento de ejecución de títulos judiciales núm. 59-2025, derivado del procedimiento de juicio monitorio núm. 200-2024, seguidos ambos ante el Juzgado de Primera Instancia núm. 3 de Eivissa.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facultad de este tribunal para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Expuesta la doctrina de este tribunal, nos encontramos en condiciones de resolver sobre la pretensión planteada, que habrá de ser necesariamente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medida cautelar solicitada presenta una indudable naturaleza económica. Se trata de paralizar un procedimiento de ejecución directamente encaminado a abonar un importe determinado, es decir, la pretensión tiene un carácter exclusivamente pecuniario. En esta situación, corresponde a los demandantes poner de manifiesto la irreparabilidad de los perjuicios económicos invocados. Y, en este punto, la solicitud formulada en la demanda no aporta un principio de prueba o unos elementos que permitan apreciar esa circunstancia. Por su parte, en el escrito de alegaciones presentado en esta pieza de suspensión solo se invocan unos hipotéticos perjuicios que no revisten el carácter de reales o inminentes, sino meramente conjeturales, como es el riesgo de un eventual embargo de bienes o una vía de apremio, pero sin mayor concreción indiciaria.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se impone la regla general consistente en denegar la medida solicitada, a fin de garantizar la preservación del interés general, concretado en la presunción de legitimidad de la actuación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no obsta a que, en el supuesto de que se procediera al embargo y a la consiguiente ejecución de algún bien inmueble por la vía de apremio, pudiera adoptarse, en su caso, la medida cautelar de anotación preventiva de la demanda de amparo en el registro de la propiedad, tal y como se ha hecho, entre otros, en los AATC 88/2018, de 17 de septiembre, FJ 5, y 2/2019, de 9 de enero, FJ 4, con la finalidad de asegurar que la eventual adquisición del bien por un tercero no fuera ulteriormente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momento, y sin prejuzgar la decisión de fondo sobre el recurso, este tribunal considera que los perjuicios ahora alegados podrían ser solventados, en su caso, mediante la declaración de nulidad de la resolución impugnada y la consiguiente retroacción de las actuaciones, con la devolución de las cantidades que, eventualmente, se hubieran abonado indebidamente.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