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José María Macías Castaño, en el recurso de amparo núm. 502-2026, interpuesto por don José Luis Mazón Costa contra el auto de 18 de diciembre de 2025, dictado por la Sala de lo Penal del Tribunal Supremo, por el que se desestima el incidente de nulidad de actuaciones promovido frente a la sentencia núm. 926/2025, de 11 de noviembre, de la misma Sala,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22 de enero de 2026 tuvo entrada en el registro de este tribunal un formulario de presentación de recurso de amparo de don José Luis Mazón Costa, por el que se pretendía interponer el correspondiente recurso contra las resoluciones ya reseñadas.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27 de enero de 2026 se presentó en el registro de este tribunal una documentación que, en el correspondiente impreso de registro, se denominó por el recurrente como “recusación del ponente señor Macías por haberle denunciado”, consistente en una copia de lo que, al parecer, había sido una denuncia o queja presentada el 9 de enero de 2025 contra el citado magistrado ante el organismo correspondiente de defensa de la competencia. Dicho documento, sin embargo, no se acompañaba de ningún escrito que formalizase en debida forma la recusación a la que parecía aludirse.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los requerimientos de subsanación correspondientes, la demanda de amparo fue formalmente presentada el 23 de febrero de 2026, sin hacer referencia alguna a la pretensión de recusación del magistrado señor Macías Castaño.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27 de abril de 2026, esta Sección Segunda acordó, mediante providencia, la inadmisión del recurso de amparo presentado, al no apreciar en el mismo la especial trascendencia constitucional exigida por el art. 50.1 b) de la Ley Orgánica del Tribunal Constitucional (LOTC), en relación con la STC 155/2009, de 25 de junio, FJ 2. Esta providencia fue notificada al recurrente, con efecto el 30 de abril de 2026.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Apreciado que no se dio respuesta alguna a la documentación presentada por el recurrente de la que parecía deducirse su pretensión de recusar al magistrado señor Macías Castaño, designado ponente de este asunto, se habrá de dejar sin efecto la providencia de inadmisión del presente recurso, mediante su declaración de nulidad para evitar cualquier indefensión (art. 24.1 CE), y a fin de darle un plazo al recurrente para que manifieste si persiste en su intención de recusar al citado magistrado mediante la presentación debidamente formalizada de la recusación correspondiente, en los términos establecidos en los arts. 223 y ss. de la Ley Orgánica del Poder Judicial,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nulidad de la providencia de 27 de abril de 2026 por la que se acordó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Conceder al recurrente, don José Luis Mazón Costa, un plazo de diez días hábiles para que manifieste si persiste en su pretensión de recusar al magistrado don José María Macías Castaño mediante la presentación del correspondiente escrito de recusación, debidamente formalizado.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Con su resultado se acordará lo procedente.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