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21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recurso de amparo núm. 1460-2024,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Pleno del Tribunal Constitucional dictó la STC 49/2026, de 23 de junio, estimando el recurso de amparo núm. 1460-2024 promovido por Tempus Holdings 76, S.A.R.L., y, en su virtud: (i) declaró que había sido vulnerado el derecho de la recurrente a la tutela judicial efectiva en su vertiente de resolución fundada en Derecho (art. 24.1 CE) en conexión con el principio de la autonomía de la voluntad (art. 10.1 CE); (ii) restableció a la recurrente en su derecho y, a tal fin, declaró la nulidad de la sentencia núm. 38/2023, de 19 de octubre de 2023, dictada por la Sala de lo Civil y Penal del Tribunal Superior de Justicia de Madrid en el procedimiento asunto civil 25-2023-nulidad laudo arbitral 14-2023; así como la del auto de 16 de enero de 2024, recaído en incidente de nulidad del mismo procedimiento; y (iii) declaró la firmeza del apartado e) de la parte dispositiva del laudo final de 13 de febrero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29 de junio de 2026, el secretario de justicia del Pleno del Tribunal Constitucional dictó diligencia de ordenación en la que se acordó notificar la anterior sentencia a las partes personadas.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que tuvo entrada en este tribunal el 2 de julio de 2026, el procurador de los tribunales don Ignacio López Chocarro, actuando en nombre y representación de Looping Webs, S.L., solicitó, al amparo de lo dispuesto en el art. 93 de la Ley Orgánica 2/1979, de 3 de octubre, del Tribunal Constitucional, aclaración de la sentencia recaída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citada mercantil sostiene que la sentencia contiene dos extremos que requieren aclaración. En primer lugar, suscita dudas acerca de la capacidad procesal de la entidad recurrente en amparo, Tempus Holdings 76, S.A.R.L. En segundo lugar, interesa la aclaración del alcance de los efectos derivados de la declaración de nulidad de la sentencia dictada por la Sala de lo Civil y Penal del Tribunal Superior de Justicia de Madrid. En particular, solicita que se precise si este tribunal podía declarar por sí mismo la firmeza del apartado e) de la parte dispositiva del laudo arbitral o si, por el contrario, procedía la retroacción de las actuaciones para que el Tribunal Superior de Justicia dictara una nueva sentencia respetuosa con el derecho fundamental reconocido.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contra las sentencias del Tribunal Constitucional no cabe recurso alguno, pero en el plazo de dos días a contar desde su notificación las partes podrán solicitar al Tribunal la aclaración de sus sentencias. Como ha señalado reiteradamente la jurisprudencia de este tribunal, el objeto de la solicitud de aclaración está limitado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(AATC 235/2014, de 7 de octubre, y 83/2020, de 21 de julio, FJ 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primera de las cuestiones planteadas, relativa a la capacidad procesal de la entidad recurrente en amparo, no ha lugar a la aclaración solicitada. La sentencia cuya aclaración se interesa se pronunció expresamente sobre esta cuestión en su fundamento jurídico 2 a), en el que expuso las razones por las que concluyó que Tempus Holdings 76, S.A.R.L., reunía los presupuestos necesarios para comparecer e interponer el presente recurso de amparo. La discrepancia que la representación procesal de Looping Webs, S.L., manifiesta respecto de dicha conclusión no pone de relieve la existencia de ningún concepto oscuro, omisión, contradicción o error material susceptible de aclaración o rectificación por este cauce excepcional, sino que expresa su desacuerdo con el juicio jurídico alcanzado por este tribunal, cuestión que excede del limitado ámbito propio del incidente de aclaración, delimitado en el fundamento jurídico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ha lugar a aclarar la segunda de las cuestiones planteadas, relativa a los efectos del fallo y, en particular, a la decisión de no retrotraer las actuaciones a la Sala de lo Civil y Penal del Tribunal Superior de Justicia de Madrid y, en su lugar, declarar la firmeza del apartado e) de la parte dispositiva del laudo arbitral. La sentencia se pronunció expresamente sobre este extremo y razonó las consecuencias que debían derivarse de la estimación del recurso de amparo. En consecuencia, la pretensión formulada no pone de manifiesto la existencia de ningún concepto oscuro, omisión o contradicción que requiera aclaración, sino que expresa su discrepancia con el alcance de los efectos atribuidos al fallo por este tribunal; cuestión que, por las razones expuestas en el fundamento jurídico precedente, queda extramuros del ámbito propio del presente incidente de aclaración.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