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los don Álvaro Rodríguez Bereijo, Presidente, don José Gabaldón López, don Fernando García-Mon y González-Regueral, don Vicente Gimeno Sendra, don Julio Diego González Campos, don Pedro Cruz Villalón, don Carles Viver Pi-Sunyer, don Enrique Ruiz Vadillo, don Manuel Juménez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49/95, interpuesto por el Procurador de los Tribunales don José Luis Barneto Arnáiz, en nombre y representación de doña Isabel Aguado Lara, bajo la dirección del Letrado don Miguel R. Mancebo Monge, frente a la Sentencia de la Sección Sexta de la Sala Tercera del Tribunal Supremo de 1 de diciembre de 1994, recaída en el recurso contencioso-administrativo núm. 239/90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enero de 1995, doña Isabel Aguado Lara, bajo la representación procesal del Procurador de los Tribunales Sr. Barneto Arnaiz, interpuso demanda de amparo constitucional contra la Sentencia de la Sala Tercera del Tribunal Supremo (Sección Sexta) de 1 de diciembre de 1994, recaída en el recurso contencioso-administrativo núm. 239/90,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La mencionada Sentencia fue notificada al Consejo General de Colegios Oficiales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La ahora demandante de amparo presentó su reclamación indemnizatoria -nacida de la anterior resolución judicial- el día 6 de julio de 1988, esto es, un año y dos días después de la fecha de la publicación de la Sentencia. Contra la desestimación presunta de su reclamación, por silencio administrativo, interpuso recurso contencioso- administrativo, que sería tramitado ante la Sala Tercera del Tribunal Supremo (Sección Sexta) y resuelto por su Sentencia de 1 de diciembre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recurrente que la interpretación realizada por el Tribunal Supremo en cuanto al cómputo del referido plazo es manifiestamente arbitraria y carece de toda lógica, implicando una denegación de justicia contraria al art. 24.1 C.E. En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B.O.E., que es el que da la debida publicidad a la misma y es por tanto el momento a partir del cual los reclamantes pueden tener conocimiento real de los derechos que se pudieran derivar del pronunciamiento judicial (arts. 1.969 y 1.971 del Código Civil). </w:t>
      </w:r>
    </w:p>
    <w:p w:rsidRPr="00C21FFE" w:rsidR="00F31FAF" w:rsidRDefault="00356547">
      <w:pPr>
        <w:rPr/>
      </w:pPr>
      <w:r w:rsidRPr="&lt;w:rPr xmlns:w=&quot;http://schemas.openxmlformats.org/wordprocessingml/2006/main&quot;&gt;&lt;w:lang w:val=&quot;es-ES_tradnl&quot; /&gt;&lt;/w:rPr&gt;">
        <w:rPr/>
        <w:t xml:space="preserve">Al no hacerlo así, sostiene la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B.O.E.,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17 de mayo de 1995 la Sección Segunda acordó admitir a trámite la demanda. Asimismo, y de conformidad con lo dispuesto en el art. 51 de la LOTC, se requirió a la Sala Tercera del Tribunal Supremo para que remitiera en el plazo de diez días testimonio de las actuaciones, y procediera a emplazar a quienes, con excepción de la recurrente en amparo, hubieran sido parte en el proceso núm. 239/90, a fin de que en el plazo de diez días pudieran comparecer en el presente proceso constitucional, con traslado a dichos efectos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octubre de 1995 la Sección Segunda acordó tener por personado y parte al Abogado del Estado, de conformidad con su escrito de 19 de mayo anterior, así como, a tenor de lo prevenido en el art. 52 de la LOTC, dar vista de todas las actuaciones por un plazo común de veinte días al Ministerio Fiscal, al Abogado del Estado y al solicitante de amparo, para que en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formuló sus alegaciones mediante escrito que tuvo su entrada en este Tribunal el 18 de octubre de 1995, en el que se resumen y reiteran cuantos argumentos fueron ya expuestos en el escrito de interposición,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11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de la Ley de Régimen Jurídico de la Administración del Estado de 1957,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artículo 40.3 L.R.J.A.E.,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de la Ley de Enjuiciamiento Civil,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del Código Civil, que sorprendentemente y sin base alguna invoca la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más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que tuvo su entrada en este Tribunal el 31 de octubre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quien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T.S. de fecha 4 de julio de 1987, y ello a pesar de que la tesis de la Sentencia impugnada es la acogida en el actual art. 142.2 de la Ley 30/1992, de 26 de noviembre (L.R.J.-P.A.C.), que no es aplicable al supuesto aquí debatido por ser posterior a la Sentencia de la que nació el derecho a ser indemnizado. En el caso de seguirse hasta sus últimas consecuencias la tesis de la Sentencia impugnada, podría ocurrir que si la Sentencia tardara mas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jurispudencia constitucional que estima de aplicación al caso. Asímismo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noviembre de 1997 el Pleno del Tribunal acordó, de conformidad con lo dispuesto en el art. 10.k) LOTC, recabar para sí el conocimiento del presente recurso, correspondiendo la ponencia para la redacción de la presente Sentencia al Magistrado don Pedro Cruz Villalón.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noviembre del año en curso se acordó señalar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49/95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49/95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