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23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1772/99, promovido por don Venancio Maseda Carramiñana, representado por el Procurador de los Tribunales don José Periañez González y asistido por el Abogado don Javier Pinedo Noriega, contra la Sentencia de 5 de abril de 1999 de la Audiencia Provincial de Madrid, que resolvió el recurso de apelación frente a la dictada el 22 de diciembre de 1998 por el Juzgado de lo Penal núm. 24 de Madrid.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abril de 1999, don Venancio Maseda Carramiñana, representado por el Procurador de los Tribunales don José Periañez González, interpuso recurso de amparo contra la Sentencia citada en el encabezamiento, alegando vulneración del derecho a la tutela judicial efectiva (art.24.1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Por Sentencia de 22 de diciembre de 1998 el Juzgado de lo Penal núm. 24 de Madrid condenó al recurrente como autor responsable de un delito de conducción bajo influencia de bebidas alcohólicas (art. 379 CP) y de una falta de circulación sin seguro obligatorio (art. 636 CP). Por el delito se le impuso la pena de cuatro meses de multa a razón de una cuota diaria de mil pesetas, con responsabilidad personal subsidiaria de setenta y cinco días en caso de impago, así como la privación del permiso de conducir durante un año y un día. Por la falta se le impuso la pena de un mes de multa con cuota diaria de mil pesetas con una responsabilidad personal de quince días para el caso de impago. </w:t>
      </w:r>
    </w:p>
    <w:p w:rsidRPr="00C21FFE" w:rsidR="00F31FAF" w:rsidRDefault="00356547">
      <w:pPr>
        <w:rPr/>
      </w:pPr>
      <w:r w:rsidRPr="&lt;w:rPr xmlns:w=&quot;http://schemas.openxmlformats.org/wordprocessingml/2006/main&quot;&gt;&lt;w:lang w:val=&quot;es-ES_tradnl&quot; /&gt;&lt;/w:rPr&gt;">
        <w:rPr/>
        <w:t xml:space="preserve">b) Contra la anterior resolución el demandante de amparo interpuso recurso de apelación ante la Audiencia Provincial de Madrid, alegando la infracción del art. 50.5 CP, que exige individualización de las multas, con "motivación" de la extensión de la pena y de la fijación del importe de las cuotas atendiendo a la situación económica del reo. En su Sentencia de 5 de abril de 1999 la Audiencia Provincial desestimó parcialmente el recurso y consideró que las penas de multa impuestas y su cuantificación resultaban ajustadas a Derecho y ponderadas a las circunstancias de hecho, si bien redujo la responsabilidad personal subsidiaria por el delito fijándola en sesenta días en lugar de los setenta y cinco acordados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como único motivo la vulneración del derecho a la tutela judicial efectiva (art. 24.1 CE), en su manifestación de derecho a obtener una resolución motivada, por entender el recurrente que la resoluciones judiciales impugnadas le han impuesto sendas penas de multa con cuota diaria de mil pesetas sin haber razonado los criterios de individualización de la cuantía, teniendo en cuenta la situación económica del reo y otras circunstancias personales, tal como exige el art. 50.5 CP. Alega que tales circunstancias no pudo apreciarlas el Juez de instancia, porque no constaban en la causa ni fueron objeto de debate, quedando aún por concluir la pieza de responsabilidad civil en el momento de formalizar el recurso de amparo. Por ello solicita el otorgamiento del amparo y la anulación de las Sentencias impugnadas, retrotrayendo las actuaciones al momento anterior a ser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 22 de febrero de 2000 se acordó la admisión a trámite de la demanda y, asimismo, requerir a la Audiencia Provincial de Madrid y al Juzgado de lo Penal núm.24 de Madrid, la remisión respectivamente del rollo de apelación núm.112/99 y de las actuaciones correspondientes al procedimiento abreviado núm. 408/98, interesándose al propio tiempo el emplazamiento de quienes fueron parte en ellos,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fecha se dictó por la Sala Segunda providencia acordando formar pieza separada para la tramitación del incidente de suspensión. Por escrito registrado el 13 de marzo de 2000, el recurrente manifestó su voluntad de desistir del incidente, dictándose el 10 de abril de 2000 Auto de la Sala Segunda por el que se acordó tener por desistido al recurrente de la solicitud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mayo de 2000, la Sala Segunda acordó dar vista de las actuaciones recibidas a la parte recurrente y al Ministerio Fiscal para que en el plazo común de veinte días formularan las alegaciones que estimaran pertinentes, de acuerdo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31 de mayo de 2000 el recurrente solicitó que se tuvieran por reproducidas las alegaciones contenidas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alegaciones, presentadas el 21 de junio de 2000, el Ministerio Fiscal propone la estimación del recurso de amparo por entender que las Sentencias impugnadas carecen en absoluto de motivación sobre la cuantificación de las cuotas asignadas a las penas de multa, y vulnerando por ello el derecho a la tutela judicial efectiva (art. 24.1 CE). A su juicio, la Sentencia dictada por el Juzgado de lo Penal no dedica ningún razonamiento a fundamentar la extensión de la pena de cuatro meses, ni aporta criterio alguno para delimitar la cantidad fijada en la cuota. Por otra parte, la Sentencia de la Audiencia Provincial no especifica las "circunstancias del hecho" o "de la persona del acusado" que se tuvieron en cuenta para individualizar las cuotas y, en todo caso, no se corresponde con las exigencias de motivación que establece el art. 50.5 CP, referidas a la situación económica del reo, deducida de sus ingresos, obligaciones y cargas familiares. Por todo ello, interesa el otorgamiento del amparo y la anulación de la Sentencia de 5 de abril de 1999 de la Audiencia Provincial de Madrid, en lo referente a la extensión y cualificación de las cuotas diarias establecidas para las penas impuestas, retrotrayendo las actuaciones al momento anterior a la misma, para que aquélla resuelva con observancia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abril de 2001,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plantea contra la Sentencia de 22 de diciembre de 1998 del Juzgado de lo Penal núm. 24 de Madrid y contra la dictada por la Audiencia Provincial de Madrid el 5 de abril de 1999, que resolvió el recurso de apelación formulado contra la primera. Alega el demandante que ambas resoluciones vulneraron su derecho a la tutela judicial efectiva (art. 24.1 CE) en su manifestación de derecho a obtener una resolución motivada, al imponerle sendas penas de multa con cuota diaria de mil pesetas sin haber razonado los criterios de individualización de la cuantía, teniendo en cuenta la situación económica del reo y otras circunstancias personales, tal como exige el art. 50.5 CP. Alega que el Juez de instancia no pudo apreciar tales circunstancias porque no constaban en la causa ni fueron objeto de debate, quedando aún por concluir la pieza de responsabilidad civil en el momento de formalizar el recurso de amparo. Por todo ello solicita la estimación del recurso y la anulación de las Sentencias impugnadas, retrotrayendo las actuaciones al momento anterior a ser dictadas.</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por entender que las Sentencias impugnadas no contienen motivación alguna sobre la cuantificación de las cuotas asignadas a las penas de multa, y por ello vulneran el derecho a la tutela judicial efectiva (art. 24.1 CE). Afirma que la Sentencia dictada por el Juzgado de lo Penal no dedica ningún razonamiento a fundamentar la extensión de la pena de cuatro meses, ni aporta criterio alguno para delimitar la cantidad fijada en la cuota, mientras la Sentencia de la Audiencia Provincial no especifica las "circunstancias del hecho" o "de la persona del acusado" que se tuvieron en cuenta para individualizar las cuotas. Las resoluciones incumplen, así, las exigencias de motivación que establece el art.  50.5 CP, referidas a la situación económica del reo, deducida de sus ingresos, obligaciones y cargas familiares. Por todo ello, solicita la anulación de la Sentencia de 5 de abril de 1999 de la Audiencia Provincial de Madrid, en lo referente a la extensión y cuantificación de las cuotas diarias establecidas para las penas impuestas, retrotrayendo las actuaciones al momento anterior a la misma, para que aquélla resuelva con observancia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en una muy consolidada doctrina,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del art. 24.1 CE (entre muchas, SSTC 20/1982, de 5 de mayo, FJ 1; 14/1984, de 3 de febrero, FJ 2; 177/1985, de 18 de diciembre, FJ 4; 23/1987, de 23 de febrero, FJ 3; 159/1989, de 6 de octubre, FJ 6; 63/1990, de 2 de abril, FJ 2; 69/1992, de 11 de mayo, FJ 2; 55/1993, de 15 de febrero, FJ 5; 169/1994, de 6 de junio, FJ 2; 146/1995, de 16 de octubre, FJ 2; 2/1997, de 13 de enero, FJ 3; 235/1998, de 14 de diciembre, FJ 2; 214/1999, de 29 de noviembre, FJ 5; 163/2000, de 12 de junio, FJ 3; 187/2000, de 10 de julio, FJ 2; y 214/2000, de 18 de septiembre, FJ 4).</w:t>
      </w:r>
    </w:p>
    <w:p w:rsidRPr="00C21FFE" w:rsidR="00F31FAF" w:rsidRDefault="00356547">
      <w:pPr>
        <w:rPr/>
      </w:pPr>
      <w:r w:rsidRPr="&lt;w:rPr xmlns:w=&quot;http://schemas.openxmlformats.org/wordprocessingml/2006/main&quot;&gt;&lt;w:lang w:val=&quot;es-ES_tradnl&quot; /&gt;&lt;/w:rPr&gt;">
        <w:rPr/>
        <w:t xml:space="preserve">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 (SSTC 55/1987, de 13 de mayo, FJ 1; 24/1990, de 15 de febrero, FJ 4; 22/1994, de 27 de enero, FJ 2; y 203/1997, de 25 de noviembre, FJ 3). Por otra parte, si bien la razón última que sustenta este deber de motivación, en tanto que 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(STC 24/1990, de 15 de febrero, FJ 4), la exigencia de motivación cumple una doble finalidad inmediata: de un lado,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 (SSTC 23/1987, de 23 de febrero, FJ 3; 159/1989, de 6 de octubre, FJ 6; 63/1990, de 2 de abril, FJ 2; 101/1992, de 25 de junio, FJ 2; 55/1993, de 15 de febrero, FJ 5; 22/1994, de 27 de enero, FJ 2; 5/1995, de 10 de enero, FJ 3; 180/1998, de 17 de septiembre, FJ 3; 47/1998, de 2 de marzo, FJ 5; 215/1998, de 11 de noviembre, FJ 3; 206/1999, de 8 de noviembre, FJ 3; 131/2000, de 16 de mayo, FJ 2; 133/2000, de 16 de mayo, FJ 2; 139/2000, de 29 de mayo, FJ 4; y 187/2000, de 10 de julio, FJ 2).</w:t>
      </w:r>
    </w:p>
    <w:p w:rsidRPr="00C21FFE" w:rsidR="00F31FAF" w:rsidRDefault="00356547">
      <w:pPr>
        <w:rPr/>
      </w:pPr>
      <w:r w:rsidRPr="&lt;w:rPr xmlns:w=&quot;http://schemas.openxmlformats.org/wordprocessingml/2006/main&quot;&gt;&lt;w:lang w:val=&quot;es-ES_tradnl&quot; /&gt;&lt;/w:rPr&gt;">
        <w:rPr/>
        <w:t xml:space="preserve">En concreto, el control que ejerce el Tribunal Constitucional se circunscribe a la mera comprobación de la relación directa y manifiesta existente entre la norma que el Juzgador declara aplicable y el fallo de la resolución, exteriorizada en la argumentación jurídica de la misma (SSTC 22/1994, de 27 de enero, FJ 2; y 139/2000, FJ 4).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 (por todas, SSTC 13/1987, de 5 de febrero, FJ 3; 184/1998, de 28 de septiembre, FJ 2; 187/1998, de 28 de septiembre, FJ 9; 215/1998, de 11 de noviembre, FJ 3; 206/1999, de 8 de noviembre, FJ 3; 187/2000, de 10 de julio, FJ 2; y 214/2000, de 18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recordados los anteriores criterios sentados en nuestra jurisprudencia sobre la motivación de las resoluciones judiciales, conviene señalar ahora que este Tribunal ha exigido un canon más riguroso en la motivación cuando el derecho a la tutela judicial efectiva se encuentra conectado con otro derecho fundamental (SSTC 62/1996, de 16 de abril, FJ 2; 34/1997, de 25 de febrero, FJ 2; 175/1997, de 27 de octubre, FJ 4, 200/1997, de 24 de noviembre, FJ 4; 83/1998, FJ 3; 116/1998, de 2 de junio, FJ 4; 2/1999, de 25 de enero, FJ 2; 25/2000, de 31 de enero, FJ 2, entre otras). En particular, este deber reforzado de motivación se impone en el caso de las Sentencias penales condenatorias cuando el derecho a la tutela judicial efectiva se conecta, directa o indirectamente, con el derecho a la libertad personal (por todas, SSTC 43/1997, de 10 de marzo, FJ 6; 81/1997, de 22 de abril, FJ 4; 116/1998, de 2 de junio, FJ 4; y 5/2000, de 17 de enero, FJ 2; 139/2000, de 30 de junio FJ 4). En una Sentencia penal, el deber de motivación incluye la obligación de fundamentar los hechos y la calificación jurídica (SSTC 27/1993, de 25 de enero, FJ 2, y 193/1996, de 26 de noviembre, FJ 3), así como la pena finalmente impuesta (SSTC 193/1996, de 26 de noviembre, FJ 3; 43/1997, de 25 de enero, FJ 2; y 47/1998, de 2 de marzo, FJ 6; ATC 204/1996, de 15 de julio, FFJJ 3 y 4).</w:t>
      </w:r>
    </w:p>
    <w:p w:rsidRPr="00C21FFE" w:rsidR="00F31FAF" w:rsidRDefault="00356547">
      <w:pPr>
        <w:rPr/>
      </w:pPr>
      <w:r w:rsidRPr="&lt;w:rPr xmlns:w=&quot;http://schemas.openxmlformats.org/wordprocessingml/2006/main&quot;&gt;&lt;w:lang w:val=&quot;es-ES_tradnl&quot; /&gt;&lt;/w:rPr&gt;">
        <w:rPr/>
        <w:t xml:space="preserve">En relación a este último extremo, sin embargo, nuestro control se ciñe a examinar si la extensión de la pena impuesta resulta o no manifiestamente irrazonable o arbitraria. En efecto, en un sistema legal de determinación de la pena caracterizado por la estrecha vinculación del Juez a la ley, el arbitrio judicial se encuentra fuertemente limitado y poco espacio queda para la motivación judicial, en la medida en que ésta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 Por otra parte, la decisión judicial sobre la pena concreta que haya de ser impuesta se adopta siempre en Sentencia, tras la celebración de un juicio contradictorio con la consiguiente inmediación, y en la que ha debido argumentarse adecuadamente sobre la prueba del hecho delictivo, la participación que en él haya tenido el que resulte condenado y las diversas vicisitudes que hayan podido concurrir en el delito y en la persona a la que éste se le imputa. Así pues, la pena se impone siempre en una resolución en la que la existencia del delito, su gravedad, y la participación en él del que resulte condenado han debido describirse y motivarse adecuadamente (ATC 204/1996, de 22 de enero, FJ 3).</w:t>
      </w:r>
    </w:p>
    <w:p w:rsidRPr="00C21FFE" w:rsidR="00F31FAF" w:rsidRDefault="00356547">
      <w:pPr>
        <w:rPr/>
      </w:pPr>
      <w:r w:rsidRPr="&lt;w:rPr xmlns:w=&quot;http://schemas.openxmlformats.org/wordprocessingml/2006/main&quot;&gt;&lt;w:lang w:val=&quot;es-ES_tradnl&quot; /&gt;&lt;/w:rPr&gt;">
        <w:rPr/>
        <w:t xml:space="preserve">Tanto en el Código Penal vigente como en el anterior la concreta determinación de la pena se produce a partir de la señalada al tipo de delito consumado, que habrá de individualizarse teniendo en cuanta la concurrencia de circunstancias genéricas o específicas. Esos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y a la vista de los datos que los hechos probados relatan la motivación acerca del quantum de la pena impuesta resulta o no manifiestamente irrazonable o arbitraria (STC 47/1998, de 31 de marzo, FJ6).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 Sentencia condenatoria aplicó el sistema de pena denominado días-multa, introducido en el Código Penal de 1995 siguiendo a otros ordenamientos de la Europa continental, como una forma de sanción pecuniaria que pretende reducir el impacto desigual sobre las personas y la dificultad de garantizar el pago efectivo. Su imposición exige al Juez o Tribunal una doble valoración: por un lado, la determinación de la extensión temporal (art. 50.5 CP) atendiendo, básicamente, a la gravedad del delito y a las circunstancias modificativas de la responsabilidad, aplicando las reglas previstas en el mismo Código; y, por otro lado, la fijación del importe de las cuotas que corresponde satisfacer al condenado por cada período temporal, magnitud que se determina teniendo en cuenta exclusivamente la situación económica del reo, deducida de su patrimonio, ingresos y obligaciones y cargas familiares y demás circunstancias personales (art. 50.5 CP).</w:t>
      </w:r>
    </w:p>
    <w:p w:rsidRPr="00C21FFE" w:rsidR="00F31FAF" w:rsidRDefault="00356547">
      <w:pPr>
        <w:rPr/>
      </w:pPr>
      <w:r w:rsidRPr="&lt;w:rPr xmlns:w=&quot;http://schemas.openxmlformats.org/wordprocessingml/2006/main&quot;&gt;&lt;w:lang w:val=&quot;es-ES_tradnl&quot; /&gt;&lt;/w:rPr&gt;">
        <w:rPr/>
        <w:t xml:space="preserve">El demandante de amparo fue condenado por el Juzgado de lo Penal como autor responsable de un delito de conducción bajo influencia de bebidas alcohólicas (art. 379 CP), a la pena de cuatro meses de multa a razón de una cuota diaria de mil pesetas, con responsabilidad personal subsidiaria de setenta y cinco días en caso de impago, así como a la privación del permiso conducir durante un año y un día; y como autor de una falta de circulación sin seguro obligatorio (art. 636 CP) a la pena de un mes de multa con cuota diaria de mil pesetas, con una responsabilidad personal de quince días para el caso de impago. La resolución fundamenta de forma razonada los hechos declarados probados y su calificación jurídica, así como la pena impuesta, que es la señalada al tipo de delito consumado, sin que concurran en el caso circunstancias modificativas de la responsabilidad. En este aspecto, y de acuerdo con los criterios que debe seguir nuestro control, nada puede reprocharse a la determinación de la extensión temporal de la pena por parte del órgano sentenciador, que cumple debidamente las exigencias constitucionales de motivación derivadas del derecho a la tutela judicial efectiva, de acuerdo con la jurisprudencia citada.</w:t>
      </w:r>
    </w:p>
    <w:p w:rsidRPr="00C21FFE" w:rsidR="00F31FAF" w:rsidRDefault="00356547">
      <w:pPr>
        <w:rPr/>
      </w:pPr>
      <w:r w:rsidRPr="&lt;w:rPr xmlns:w=&quot;http://schemas.openxmlformats.org/wordprocessingml/2006/main&quot;&gt;&lt;w:lang w:val=&quot;es-ES_tradnl&quot; /&gt;&lt;/w:rPr&gt;">
        <w:rPr/>
        <w:t xml:space="preserve">En lo referente a la determinación del importe de las cuotas que corresponde satisfacer al condenado por cada período temporal, la Sentencia dictada por el Juzgado de lo Penal, como alega el Ministerio Fiscal, no aporta criterio alguno para delimitar la cantidad fijada, mientras la Sentencia de la Audiencia Provincial declara que la cuantificación efectuada en instancia "resulta ajustada a derecho y ponderada a las circunstancias del hecho y de la persona del acusado", sin especificar cuáles fueron las concretas circunstancias que se tuvieron en cuenta para individualizar las cuotas. En este extremo, las resoluciones incumplirían las exigencias del art. 50.5 CP, precepto que establece la obligación de los Jueces o Tribunales de fijar motivadamente en la Sentencia el importe de las cuotas "teniendo en cuenta para ello exclusivamente la situación económica del reo, deducida de su patrimonio, ingresos, obligaciones y cargas familiares y demás circunstancias personales del mismo".</w:t>
      </w:r>
    </w:p>
    <w:p w:rsidRPr="00C21FFE" w:rsidR="00F31FAF" w:rsidRDefault="00356547">
      <w:pPr>
        <w:rPr/>
      </w:pPr>
      <w:r w:rsidRPr="&lt;w:rPr xmlns:w=&quot;http://schemas.openxmlformats.org/wordprocessingml/2006/main&quot;&gt;&lt;w:lang w:val=&quot;es-ES_tradnl&quot; /&gt;&lt;/w:rPr&gt;">
        <w:rPr/>
        <w:t xml:space="preserve">Tal incumplimiento adquiere también relieve constitucional por cuanto la falta de motivación en la imposición de este tipo de pena supone la ausencia de los elementos y razones de juicio que permiten conocer los criterios de la decisión judicial -resultado de una indagación de la capacidad económica del reo- y garantizan su posterior control a través de los recursos. La ausencia de motivación en la fijación del importe de las cuotas correspondientes a la pena de días-multa incumple el deber reforzado de motivación de las Sentencias penales condenatorias, por cuanto el derecho a la tutela judicial efectiva se conecta aquí, a través de la responsabilidad personal subsidiaria, con el derecho a la libertad personal. Por otro lado, como ya hemos declarado, el margen de discrecionalidad del que legalmente goza el Juez a la hora de adoptar una decisión -en este caso, la de fijar una cuota diaria entre doscientas pesetas y cincuenta mil pesetas (art. 50.4 CP)- no constituye por sí mismo justificación suficiente de la decisión finalmente adoptada, sino que, por el contrario, el ejercicio de dicha facultad viene condicionado estrechamente a la exigencia de que tal resolución esté motivada, pues solo así puede procederse a un control posterior de la misma en evitación de toda arbitrariedad (SSTC 224/1992, de 14 de diciembre, FJ 3; 25/2000, de 31 de enero, FJ 2).</w:t>
      </w:r>
    </w:p>
    <w:p w:rsidRPr="00C21FFE" w:rsidR="00F31FAF" w:rsidRDefault="00356547">
      <w:pPr>
        <w:rPr/>
      </w:pPr>
      <w:r w:rsidRPr="&lt;w:rPr xmlns:w=&quot;http://schemas.openxmlformats.org/wordprocessingml/2006/main&quot;&gt;&lt;w:lang w:val=&quot;es-ES_tradnl&quot; /&gt;&lt;/w:rPr&gt;">
        <w:rPr/>
        <w:t xml:space="preserve">Por todo ello, la ausencia total de motivación sobre los criterios de determinación de las cuotas diarias finalmente fijadas en las Sentencias impugnadas ha redundado en una lesión del derecho del recurrente a obtener de los órganos judiciales una resolución motivada y fundada en Derecho, y, en consecuencia, procede estimar el presente recurso de amparo, anulando la Sentencia de 5 de abril de 1999 de la Audiencia Provincial de Madrid en lo referente a la cuantificación de las cuotas diarias fijadas en la pena de multa, para que ésta resuelva de nuevo sobre tal extremo de forma motivada y acorde con el derecho a la tutela judicial efectiva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Venancio Maseda Carramiñana y, en consecuencia:</w:t>
      </w:r>
    </w:p>
    <w:p w:rsidRPr="" w:rsidR="00F31FAF" w:rsidRDefault="00356547">
      <w:pPr>
        <w:rPr/>
      </w:pPr>
      <w:r w:rsidRPr="&lt;w:rPr xmlns:w=&quot;http://schemas.openxmlformats.org/wordprocessingml/2006/main&quot;&gt;&lt;w:szCs w:val=&quot;24&quot; /&gt;&lt;/w:rPr&gt;">
        <w:rPr/>
        <w:t xml:space="preserve">1º Reconocer que se ha vulnerado al recurrente su derecho a la tutela judicial efectiva (art. 24.1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5 de abril de 1999 de la Audiencia Provincial de Madrid en lo referente a la cuantificación de las cuotas diarias fijadas en la pena de días-multa y retrotraer las actuaciones al momento anterior al de dictarse la Sentencia, a fin de que la Audiencia Provincial de Madrid dicte nueva resolución debidamente motivada.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