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4833-2000, promovida por la Sección Segunda de la Sala de lo Contencioso-Administrativo del Tribunal Superior de Justicia del País Vasco en relación con el art. 11 a) y c)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septiembre de 2000 fue registrado en este Tribunal oficio de fecha 5 de septiembre de 2000, remitido por la Sala de lo Contencioso-Administrativo (Sección Segunda) del Tribunal Superior de Justicia del País Vasco, al que se adjuntaba, entre otros testimonios, el del Auto del mismo órgano judicial, de 26 de junio de 2000, por el que se acuerda plantear cuestión de inconstitucionalidad en relación con el art. 11 a) y c) de la Ley del Parlamento Vasco 17/1994, de 30 de junio, de medidas urgentes en materia de vivienda, de tramitación de los instrumentos de planeamiento y gestión urbanística. El precepto mencionado completo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4833-2000, deriva del recurso contencioso-administrativo interpuesto por doña Carmen Silván Martín, doña Juana María Iturmendi Maguregui, doña Inés López-Niclos Estornes y don Juan Carlos Gorostiza Bilbao contra Acuerdos del Ayuntamiento de Getxo de 27 y 28 de febrero de 1996, por los que se conceden licencias de edificación en la Ciudad Jardín de La Galea. En la demanda de ese proceso contencioso- administrativo alegaron los recurrentes, entre otros motivos de supuesta ilegalidad de los actos administrativos recurridos, que éstos, como consecuencia de un convenio urbanístico, habrían vulnerado la regla legal que impone la ejecución del planeamiento por polígonos completos y la que obliga a la cesión del 15 por 100 del aprovechamiento urbanístico, esta última establecida en el art. 27 del texto refundido de la Ley sobre el régimen del suelo y ordenación urbana, aprobado por Real Decreto Legislativo 1/1992, de 26 de junio (LS de 1992), precepto que, aunque hubiera sido declarado inconstitucional por STC 61/1997, de 20 de marzo, establecía una regulación asumida en la Comunidad Autónoma del País Vasco por la Ley vasca 17/1994.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20 de marzo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TRLS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a) y c) de la Ley vasca 17/1994 es la norma aplicable al caso sobre el que debe resolverse, dado que el objeto de la impugnación son unas licencias en las que se habría excepcionado la regla de la cesión del 15 por 100 del aprovechamiento urbanístico establecida por aquel precepto, vigente en el momento en que aquéllas se otorgaron.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a) y c)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presentó su escrito de alegaciones el 16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a) y c)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incluidos en unidad de ejecución en los denominados municipios de “aplicación íntegra” de la Ley del suelo de 1992 en el País Vasco [letra a)], así como de los excluidos de unidad de ejecución en la misma clase de suelo [letra c)].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(aunque referida a la totalidad del art. 11 de la Ley vasca 17/1994), ha sido ya resuelta con un pronunciamiento desestimatorio por este Tribunal en la reciente STC 178/2004, de 21 de octubre. De acuerdo con dicha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A igual conclusión ha de llegarse en el presente supuesto procediendo la remisión, en lo demás,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4833-2000.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4833-2000,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