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2184-2003, promovido por don Ahmed Labribri, representado por la Procuradora de los Tribunales doña Almudena Gil Segura y asistido por el Letrado don Luis Miguel Pérez Espadas, contra el Auto de 26 de marzo de 2003 del Juzgado de Instrucción núm. 1 de Puerto del Rosario, que inadmitió el procedimiento de habeas corpus instado por el recurrente.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abril de 2003 tuvo entrada la demanda de amparo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El recurrente entró ilegalmente en España en patera y fue detenido el 24 de marzo de 2003 por Agentes de la Policía Nacional de la Comisaría de Puerto del Rosario. Contra tal detención se solicitó habeas corpus ante el Juzgado correspondiente quien, mediante Auto de 26 de marzo de 2003 ahora recurrido, decidió inadmitir el procedimiento solicitado ya que, como explica en el fundamento de derecho, en el caso de autos la solicitud de habeas corpus se había producido cuando ya se ha dado la audiencia prevista en la Ley Orgánica sobre derechos y libertades de los extranjeros en España al solicitante. Por tanto, considera el órgano judicial absurdo y contrario a derecho que se solicite por el Letrado del detenido el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se ha vulnerado su derecho a la libertad personal (art. 17 CE) al haberse inadmitido el procedimiento de habeas corpus, ya que, aunque reconoce que existió una entrevista con el juez con anterioridad a la mencionada solicitud de habeas corpus, ello no legitima la detención sufrida. Se pide en la demanda que se dicte Sentencia por la que otorgue el amparo pedido, se reconozca el derecho del recurrente a la libertad y se acuerde la nulidad de su detención y del posterior auto denegando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2004 la Sección Primera acordó la admisión a trámite de la demanda de amparo formulada y con base en el art. 51 de la Ley Orgánica de este Tribunal se requirió al Juzgado de Instrucción núm. 1 de Puerto del Rosario para que remitiera testimonio del procedimiento habeas corpus núm. 4-2003. Mediante diligencia de ordenación de 17 de diciembre de 2004 se tuvo por recibido el testimonio de las actuaciones judiciales solicitadas y con fundamento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27 de diciembre de 2004, el recurrente, remitiéndose a la argumentación expresa en el recurso de amparo, solicitó la estimación del presente recurso. El Fiscal mediante escrito de 4 de enero de 2005 solicitó la estimación del amparo solicitado. Considera el Ministerio Fiscal que no es función de este Tribunal determinar si, en casos como el presente, era o no legítima la detención de la persona en cuyo nombre se solicita amparo, sino, más sencillamente, comprobar si contó con la garantía que para la integridad del derecho a la libertad está prevista en el art. 17.4 CE, que establece que “la ley regulará un procedimiento de habeas corpus para producir la inmediata puesta a disposición judicial de toda persona detenida ilegalmente”. En consecuencia, la constitucionalización de la garantía que el procedimiento de habeas corpus representa tiene como finalidad que la persona que se considera ilegalmente privada de libertad sea inmediatamente puesta de manifiesto a la autoridad judicial, que, no en balde, es considerada como la guardiana de la libertad de los ciudadanos. </w:t>
      </w:r>
    </w:p>
    <w:p w:rsidRPr="00C21FFE" w:rsidR="00F31FAF" w:rsidRDefault="00356547">
      <w:pPr>
        <w:rPr/>
      </w:pPr>
      <w:r w:rsidRPr="&lt;w:rPr xmlns:w=&quot;http://schemas.openxmlformats.org/wordprocessingml/2006/main&quot;&gt;&lt;w:lang w:val=&quot;es-ES_tradnl&quot; /&gt;&lt;/w:rPr&gt;">
        <w:rPr/>
        <w:t xml:space="preserve">Continúa argumentando el Fiscal que en el presente caso, en el que el demandante de amparo estaba privado de libertad en el momento de presentarse la solicitud de habeas corpus y, puesto que en dicha solicitud se expresaban los motivos por los que se consideraba ilegítima la detención, lo procedente hubiera sido admitir a trámite el proceso para que, durante la audiencia en la que se pusiera de manifiesto el detenido al Juez, se practicara la prueba y, a su vista, se adoptara la resolución que procediese sobre la estimación o desestimación de la petición. En lugar de ello el Juez optó por inadmitir directamente el proceso por entender que la audiencia practicada con el Sr. Labribri en el marco de la Ley Orgánica sobre derechos y libertades de los extranjeros en España legitimaba su situación y sin reparar en que dicha audiencia, aunque fuese equivalente a la manifestación del detenido o prevista en la Ley Orgánica 6/84, no satisfacía todas las finalidades que dicha Ley le otorga, concretamente las de que las autoridades que custodian al detenido expliquen las razones de la detención y la de practicar la prueba que hubiese sido admitida. Es patente, por tanto, a juicio del Fiscal, que se vulneró la garantía que para la libertad se establece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diciembre de 2005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26 de marzo de 2003 del Juzgado de Instrucción núm. 1 de Puerto de Rosario, que inadmitió a trámite la petición de habeas corpus deducida por don Ahmed Labribri,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como viene a reconocer el recurrente en su escrito de demanda, al instarse el habeas corpus el Juez, aplicando la mencionada normativa, ya había oído al demandante de amparo.</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Ahmed Labribri.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Roberto García-Calvo y Montiel respecto de la Sentencia dictada en el recurso de amparo número 2184-2003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doce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