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19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1127-2004,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25 de febrero de 2004 se registró en este Tribunal escrito del Presidente de la Sala de lo Social del Tribunal Superior de Justicia de Canarias al que se adjuntaba testimonio del rollo de suplicación núm. 956-2003 y Auto de 5 de diciembre de 2003,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Don David Lorenzo Pérez Rodríguez ha venido prestando servicios para la Consejería de Educación, Cultura y Deportes de la Comunidad Autónoma de Canarias, desde el 1 de octubre de 1997, como profesor de religión y moral católica en un centro de enseñanza secundaria, mediante sucesivos contratos de duración determinada. En fecha 24 de julio de 2001 el Obispado de Canarias remitió a la Comunidad Autónoma una relación de profesores que, habiendo prestado servicios en el curso 2000-2001, no eran propuestos para el curso siguiente. Entre los 14 profesores de la relación figuraba el demandante. Los 14 profesores anteriores habían participado en las huelgas de los días 26 de enero y 19 de febrero de 2000 y posteriores. Igualmente, el actor y otros 39 compañeros participaron en un encierro en la Consejería de Educación en el mes de diciembre de 1999, reivindicando la estabilidad de su trabajo. Todos los profesores cesados a propuesta del Ordinario a partir de dicha fecha habían participado en dicho encierro y en las huelgas posteriores, aunque algunos de los participantes no fueron cesados. El actor está afiliado al Sindicato de Trabajadores de la Enseñanza de Canarias- Intersindical Canaria y participa activamente en todos los conflictos entre los profesores de religión y la Consejería. En fecha 28-12-99 el actor, junto con otros trabajadores, interpuso demanda en reconocimiento de fijeza laboral. Con ocasión de la huelga anteriormente citada, el Ordinario de Canarias emitió un comunicado en fecha 27 de enero de 2000 que fue publicado en los medios de comunicación locales en el que consideraba la huelga ética y moralmente ilícita y en el que recomendaba a los profesores de religión y moral católica que deseasen una total estabilidad laboral en el empleo que se preocupasen “desde ahora” en encontrar nuevos puestos de trabajo que se la asegurasen. </w:t>
      </w:r>
    </w:p>
    <w:p w:rsidRPr="00C21FFE" w:rsidR="00F31FAF" w:rsidRDefault="00356547">
      <w:pPr>
        <w:rPr/>
      </w:pPr>
      <w:r w:rsidRPr="&lt;w:rPr xmlns:w=&quot;http://schemas.openxmlformats.org/wordprocessingml/2006/main&quot;&gt;&lt;w:lang w:val=&quot;es-ES_tradnl&quot; /&gt;&lt;/w:rPr&gt;">
        <w:rPr/>
        <w:t xml:space="preserve">b) Tras interponer reclamación previa en fecha 23 de octubre de 2001, que fue desestimada por Resolución de 15 de noviembre de 2001, el Sr. Pérez Rodríguez interpuso demanda por despido contra la Comunidad Autónoma de Canarias, el Ministerio de Educación y Ciencia y el Obispado de Canarias en fecha 12 de noviembre de 2001, que fue repartida al Juzgado de lo Social núm. 1 de Las Palmas de Gran Canaria. </w:t>
      </w:r>
    </w:p>
    <w:p w:rsidRPr="00C21FFE" w:rsidR="00F31FAF" w:rsidRDefault="00356547">
      <w:pPr>
        <w:rPr/>
      </w:pPr>
      <w:r w:rsidRPr="&lt;w:rPr xmlns:w=&quot;http://schemas.openxmlformats.org/wordprocessingml/2006/main&quot;&gt;&lt;w:lang w:val=&quot;es-ES_tradnl&quot; /&gt;&lt;/w:rPr&gt;">
        <w:rPr/>
        <w:t xml:space="preserve">c) La demanda dio lugar a los autos núm. 982-2001, que concluyeron con Sentencia de 28 de mayo de 2002 que estimó parcialmente la demanda declarando que habían sido vulnerados los derechos fundamentales del actor a la libertad sindical y a la huelga y declarando, igualmente, la nulidad radical de su cese, ordenando el cese inmediato de la conducta antisindical y la inmediata readmisión del actor con abono de los salarios dejados de percibir. </w:t>
      </w:r>
    </w:p>
    <w:p w:rsidRPr="00C21FFE" w:rsidR="00F31FAF" w:rsidRDefault="00356547">
      <w:pPr>
        <w:rPr/>
      </w:pPr>
      <w:r w:rsidRPr="&lt;w:rPr xmlns:w=&quot;http://schemas.openxmlformats.org/wordprocessingml/2006/main&quot;&gt;&lt;w:lang w:val=&quot;es-ES_tradnl&quot; /&gt;&lt;/w:rPr&gt;">
        <w:rPr/>
        <w:t xml:space="preserve">d) La Comunidad Autónoma interpuso recurso de suplicación ante la Sala de lo Social del Tribunal Superior de Justicia de Canarias (rollo núm. 956-2003), que ha elevado la presente cuestión de inconstitucionalidad. Previamente, y de conformidad con lo dispuesto en el art. 35.2 LOTC, dictó providencia, el 27 de octubre de 2003,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1979. En dicho proveído se señalaban como supuestamente conculcados los arts. 9, 14, 16, 18, 20, 23, 24, 27 y 103.3 de la Constitución. </w:t>
      </w:r>
    </w:p>
    <w:p w:rsidRPr="00C21FFE" w:rsidR="00F31FAF" w:rsidRDefault="00356547">
      <w:pPr>
        <w:rPr/>
      </w:pPr>
      <w:r w:rsidRPr="&lt;w:rPr xmlns:w=&quot;http://schemas.openxmlformats.org/wordprocessingml/2006/main&quot;&gt;&lt;w:lang w:val=&quot;es-ES_tradnl&quot; /&gt;&lt;/w:rPr&gt;">
        <w:rP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w:t>
      </w:r>
    </w:p>
    <w:p w:rsidRPr="00C21FFE" w:rsidR="00F31FAF" w:rsidRDefault="00356547">
      <w:pPr>
        <w:rPr/>
      </w:pPr>
      <w:r w:rsidRPr="&lt;w:rPr xmlns:w=&quot;http://schemas.openxmlformats.org/wordprocessingml/2006/main&quot;&gt;&lt;w:lang w:val=&quot;es-ES_tradnl&quot; /&gt;&lt;/w:rPr&gt;">
        <w:rPr/>
        <w:t xml:space="preserve">f) El demandante consideró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Pr="00C21FFE" w:rsidR="00F31FAF" w:rsidRDefault="00356547">
      <w:pPr>
        <w:rPr/>
      </w:pPr>
      <w:r w:rsidRPr="&lt;w:rPr xmlns:w=&quot;http://schemas.openxmlformats.org/wordprocessingml/2006/main&quot;&gt;&lt;w:lang w:val=&quot;es-ES_tradnl&quot; /&gt;&lt;/w:rPr&gt;">
        <w:rPr/>
        <w:t xml:space="preserve">g) Tanto el Obispado de Canarias como el Gobierno de Canarias y el Abogado del Estado se opusieron al planteamiento de la cuestión. </w:t>
      </w:r>
    </w:p>
    <w:p w:rsidRPr="00C21FFE" w:rsidR="00F31FAF" w:rsidRDefault="00356547">
      <w:pPr>
        <w:rPr/>
      </w:pPr>
      <w:r w:rsidRPr="&lt;w:rPr xmlns:w=&quot;http://schemas.openxmlformats.org/wordprocessingml/2006/main&quot;&gt;&lt;w:lang w:val=&quot;es-ES_tradnl&quot; /&gt;&lt;/w:rPr&gt;">
        <w:rPr/>
        <w:t xml:space="preserve">El Obispado se remitió íntegramente a lo informado en sus alegaciones ante providencias idénticas dictadas por la misma Sala con anterioridad en otros asuntos semejantes.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 Finalmente, el Abogado del Estado hizo suyos los argumentos contenidos en el fundamento jurídico tercero de la Sentencia recurrida, que excluyen cualquier posible controversia sobe la pretendida vulneración de los artículos citados en 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5 de diciembre de 2003,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Pr="00C21FFE" w:rsidR="00F31FAF" w:rsidRDefault="00356547">
      <w:pPr>
        <w:rPr/>
      </w:pPr>
      <w:r w:rsidRPr="&lt;w:rPr xmlns:w=&quot;http://schemas.openxmlformats.org/wordprocessingml/2006/main&quot;&gt;&lt;w:lang w:val=&quot;es-ES_tradnl&quot; /&gt;&lt;/w:rPr&gt;">
        <w:rP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Pr="00C21FFE" w:rsidR="00F31FAF" w:rsidRDefault="00356547">
      <w:pPr>
        <w:rPr/>
      </w:pPr>
      <w:r w:rsidRPr="&lt;w:rPr xmlns:w=&quot;http://schemas.openxmlformats.org/wordprocessingml/2006/main&quot;&gt;&lt;w:lang w:val=&quot;es-ES_tradnl&quot; /&gt;&lt;/w:rPr&gt;">
        <w:rP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El objeto de la cuestión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Pr="00C21FFE" w:rsidR="00F31FAF" w:rsidRDefault="00356547">
      <w:pPr>
        <w:rPr/>
      </w:pPr>
      <w:r w:rsidRPr="&lt;w:rPr xmlns:w=&quot;http://schemas.openxmlformats.org/wordprocessingml/2006/main&quot;&gt;&lt;w:lang w:val=&quot;es-ES_tradnl&quot; /&gt;&lt;/w:rPr&gt;">
        <w:rP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Pr="00C21FFE" w:rsidR="00F31FAF" w:rsidRDefault="00356547">
      <w:pPr>
        <w:rPr/>
      </w:pPr>
      <w:r w:rsidRPr="&lt;w:rPr xmlns:w=&quot;http://schemas.openxmlformats.org/wordprocessingml/2006/main&quot;&gt;&lt;w:lang w:val=&quot;es-ES_tradnl&quot; /&gt;&lt;/w:rPr&gt;">
        <w:rPr/>
        <w:t xml:space="preserve">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marzo de 2004 la Sección Segunda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83, de 6 de abril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se registró en el Tribunal el 2 de abril de 2004.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w:t>
      </w:r>
    </w:p>
    <w:p w:rsidRPr="00C21FFE" w:rsidR="00F31FAF" w:rsidRDefault="00356547">
      <w:pPr>
        <w:rPr/>
      </w:pPr>
      <w:r w:rsidRPr="&lt;w:rPr xmlns:w=&quot;http://schemas.openxmlformats.org/wordprocessingml/2006/main&quot;&gt;&lt;w:lang w:val=&quot;es-ES_tradnl&quot; /&gt;&lt;/w:rPr&gt;">
        <w:rPr/>
        <w:t xml:space="preserve">Por otra parte, resalta el Abogado del Estado la existencia de una novedad legislativa sobrevenida, dado que la disposición adicional segunda de la Ley Orgánica 1/1990 ha sido derogada expresamente por la Ley Orgánica 10/2002, de 23 de diciembre, de calidad de la educación, siendo obvio, sin embargo, que tal derogación no priva de objeto a la cuestión.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pasan de atribuir un poder de propuesta al Ordinario diocesano. Ahora bien, éste sólo propone a quienes cuentan con una previa “declaración eclesiástica de idoneidad” (declaración eclesiástica de idoneidad), habilitación docente creada por la Conferencia Episcopal Española -no por el artículo III del Acuerdo- y recogida hoy en la cláusula 4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Pr="00C21FFE" w:rsidR="00F31FAF" w:rsidRDefault="00356547">
      <w:pPr>
        <w:rPr/>
      </w:pPr>
      <w:r w:rsidRPr="&lt;w:rPr xmlns:w=&quot;http://schemas.openxmlformats.org/wordprocessingml/2006/main&quot;&gt;&lt;w:lang w:val=&quot;es-ES_tradnl&quot; /&gt;&lt;/w:rPr&gt;">
        <w:rP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Pr="00C21FFE" w:rsidR="00F31FAF" w:rsidRDefault="00356547">
      <w:pPr>
        <w:rPr/>
      </w:pPr>
      <w:r w:rsidRPr="&lt;w:rPr xmlns:w=&quot;http://schemas.openxmlformats.org/wordprocessingml/2006/main&quot;&gt;&lt;w:lang w:val=&quot;es-ES_tradnl&quot; /&gt;&lt;/w:rPr&gt;">
        <w:rP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Pr="00C21FFE" w:rsidR="00F31FAF" w:rsidRDefault="00356547">
      <w:pPr>
        <w:rPr/>
      </w:pPr>
      <w:r w:rsidRPr="&lt;w:rPr xmlns:w=&quot;http://schemas.openxmlformats.org/wordprocessingml/2006/main&quot;&gt;&lt;w:lang w:val=&quot;es-ES_tradnl&quot; /&gt;&lt;/w:rPr&gt;">
        <w:rPr/>
        <w:t xml:space="preserve">Es patente, para el Abogado del Estado, que la libertad religiosa tiene, junto al individual, un aspecto comunitario o colectivo. En esta segunda dimensión, sus titulares son las Iglesias, confesiones y comunidades religiosas (art. 2.2 LOLR,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Pr="00C21FFE" w:rsidR="00F31FAF" w:rsidRDefault="00356547">
      <w:pPr>
        <w:rPr/>
      </w:pPr>
      <w:r w:rsidRPr="&lt;w:rPr xmlns:w=&quot;http://schemas.openxmlformats.org/wordprocessingml/2006/main&quot;&gt;&lt;w:lang w:val=&quot;es-ES_tradnl&quot; /&gt;&lt;/w:rPr&gt;">
        <w:rP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Pr="00C21FFE" w:rsidR="00F31FAF" w:rsidRDefault="00356547">
      <w:pPr>
        <w:rPr/>
      </w:pPr>
      <w:r w:rsidRPr="&lt;w:rPr xmlns:w=&quot;http://schemas.openxmlformats.org/wordprocessingml/2006/main&quot;&gt;&lt;w:lang w:val=&quot;es-ES_tradnl&quot; /&gt;&lt;/w:rPr&gt;">
        <w:rP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Pr="00C21FFE" w:rsidR="00F31FAF" w:rsidRDefault="00356547">
      <w:pPr>
        <w:rPr/>
      </w:pPr>
      <w:r w:rsidRPr="&lt;w:rPr xmlns:w=&quot;http://schemas.openxmlformats.org/wordprocessingml/2006/main&quot;&gt;&lt;w:lang w:val=&quot;es-ES_tradnl&quot; /&gt;&lt;/w:rPr&gt;">
        <w:rP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Pr="00C21FFE" w:rsidR="00F31FAF" w:rsidRDefault="00356547">
      <w:pPr>
        <w:rPr/>
      </w:pPr>
      <w:r w:rsidRPr="&lt;w:rPr xmlns:w=&quot;http://schemas.openxmlformats.org/wordprocessingml/2006/main&quot;&gt;&lt;w:lang w:val=&quot;es-ES_tradnl&quot; /&gt;&lt;/w:rPr&gt;">
        <w:rP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Pr="00C21FFE" w:rsidR="00F31FAF" w:rsidRDefault="00356547">
      <w:pPr>
        <w:rPr/>
      </w:pPr>
      <w:r w:rsidRPr="&lt;w:rPr xmlns:w=&quot;http://schemas.openxmlformats.org/wordprocessingml/2006/main&quot;&gt;&lt;w:lang w:val=&quot;es-ES_tradnl&quot; /&gt;&lt;/w:rPr&gt;">
        <w:rP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Pr="00C21FFE" w:rsidR="00F31FAF" w:rsidRDefault="00356547">
      <w:pPr>
        <w:rPr/>
      </w:pPr>
      <w:r w:rsidRPr="&lt;w:rPr xmlns:w=&quot;http://schemas.openxmlformats.org/wordprocessingml/2006/main&quot;&gt;&lt;w:lang w:val=&quot;es-ES_tradnl&quot; /&gt;&lt;/w:rPr&gt;">
        <w:rP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LOLR y 6.1 c) Ley Orgánica 5/1985], los padres católicos [arts. 16.1 y 27.3 CE, 2.1 c) LOLR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Pr="00C21FFE" w:rsidR="00F31FAF" w:rsidRDefault="00356547">
      <w:pPr>
        <w:rPr/>
      </w:pPr>
      <w:r w:rsidRPr="&lt;w:rPr xmlns:w=&quot;http://schemas.openxmlformats.org/wordprocessingml/2006/main&quot;&gt;&lt;w:lang w:val=&quot;es-ES_tradnl&quot; /&gt;&lt;/w:rPr&gt;">
        <w:rP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Pr="00C21FFE" w:rsidR="00F31FAF" w:rsidRDefault="00356547">
      <w:pPr>
        <w:rPr/>
      </w:pPr>
      <w:r w:rsidRPr="&lt;w:rPr xmlns:w=&quot;http://schemas.openxmlformats.org/wordprocessingml/2006/main&quot;&gt;&lt;w:lang w:val=&quot;es-ES_tradnl&quot; /&gt;&lt;/w:rPr&gt;">
        <w:rP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Pr="00C21FFE" w:rsidR="00F31FAF" w:rsidRDefault="00356547">
      <w:pPr>
        <w:rPr/>
      </w:pPr>
      <w:r w:rsidRPr="&lt;w:rPr xmlns:w=&quot;http://schemas.openxmlformats.org/wordprocessingml/2006/main&quot;&gt;&lt;w:lang w:val=&quot;es-ES_tradnl&quot; /&gt;&lt;/w:rPr&gt;">
        <w:rPr/>
        <w:t xml:space="preserve">Finalmente, carece de todo fundamento sólido, a juicio del Abogado del Estado, atribuir a las disposiciones cuestionadas infracción alguna de los arts. 20.1.a)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Pr="00C21FFE" w:rsidR="00F31FAF" w:rsidRDefault="00356547">
      <w:pPr>
        <w:rPr/>
      </w:pPr>
      <w:r w:rsidRPr="&lt;w:rPr xmlns:w=&quot;http://schemas.openxmlformats.org/wordprocessingml/2006/main&quot;&gt;&lt;w:lang w:val=&quot;es-ES_tradnl&quot; /&gt;&lt;/w:rPr&gt;">
        <w:rPr/>
        <w:t xml:space="preserve">En consecuencia, el Abogado del Estado suplica del Tribunal que dicte Sentencia por la que declare mal planteada e inadmisible la cuestión respecto al párrafo primero de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el Tribunal el 5 de abril de 2004, la Presidenta del Congreso de los Diputados puso en conocimiento del Tribunal que la Cámara no se personaría en el procedimiento ni formularía alegaciones, remitiendo a la Dirección de Estudios y Documentación de su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19 de abril de 2004, el Presidente del Senado comunicó que la Mesa de la Cámara había acordado darse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27 de abril de 2004, remitiéndose íntegramente a las alegaciones formuladas el día 24 de marzo de 2004 en relación con la cuestión de inconstitucionalidad núm. 786/2004 e interesando del Tribunal que dicte Sentencia desestimatoria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17 de abril de 2007 se acordó señalar el siguiente día 19 para la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Pr="00C21FFE" w:rsidR="00F31FAF" w:rsidRDefault="00356547">
      <w:pPr>
        <w:rPr/>
      </w:pPr>
      <w:r w:rsidRPr="&lt;w:rPr xmlns:w=&quot;http://schemas.openxmlformats.org/wordprocessingml/2006/main&quot;&gt;&lt;w:lang w:val=&quot;es-ES_tradnl&quot; /&gt;&lt;/w:rPr&gt;">
        <w:rPr/>
        <w:t xml:space="preserve">Artículo III</w:t>
      </w:r>
    </w:p>
    <w:p w:rsidRPr="00C21FFE" w:rsidR="00F31FAF" w:rsidRDefault="00356547">
      <w:pPr>
        <w:rPr/>
      </w:pPr>
      <w:r w:rsidRPr="&lt;w:rPr xmlns:w=&quot;http://schemas.openxmlformats.org/wordprocessingml/2006/main&quot;&gt;&lt;w:lang w:val=&quot;es-ES_tradnl&quot; /&gt;&lt;/w:rPr&gt;">
        <w:rPr/>
        <w:t xml:space="preserve">“En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Pr="00C21FFE" w:rsidR="00F31FAF" w:rsidRDefault="00356547">
      <w:pPr>
        <w:rPr/>
      </w:pPr>
      <w:r w:rsidRPr="&lt;w:rPr xmlns:w=&quot;http://schemas.openxmlformats.org/wordprocessingml/2006/main&quot;&gt;&lt;w:lang w:val=&quot;es-ES_tradnl&quot; /&gt;&lt;/w:rPr&gt;">
        <w:rPr/>
        <w:t xml:space="preserve">En los centros públicos de Educación Preescolar, de Educación General Básica y de Formación Profesional de primer grado, la designación, en la forma antes señalada, recaerá con preferencia en los profesores de EGB que así lo soliciten.</w:t>
      </w:r>
    </w:p>
    <w:p w:rsidRPr="00C21FFE" w:rsidR="00F31FAF" w:rsidRDefault="00356547">
      <w:pPr>
        <w:rPr/>
      </w:pPr>
      <w:r w:rsidRPr="&lt;w:rPr xmlns:w=&quot;http://schemas.openxmlformats.org/wordprocessingml/2006/main&quot;&gt;&lt;w:lang w:val=&quot;es-ES_tradnl&quot; /&gt;&lt;/w:rPr&gt;">
        <w:rPr/>
        <w:t xml:space="preserve">Nadie estará obligado a impartir enseñanza religiosa.</w:t>
      </w:r>
    </w:p>
    <w:p w:rsidRPr="00C21FFE" w:rsidR="00F31FAF" w:rsidRDefault="00356547">
      <w:pPr>
        <w:rPr/>
      </w:pPr>
      <w:r w:rsidRPr="&lt;w:rPr xmlns:w=&quot;http://schemas.openxmlformats.org/wordprocessingml/2006/main&quot;&gt;&lt;w:lang w:val=&quot;es-ES_tradnl&quot; /&gt;&lt;/w:rPr&gt;">
        <w:rPr/>
        <w:t xml:space="preserve">Los Profesores de religión formarán parte, a todos los efectos, del Claustro de Profesores de los respectivos Centros”.</w:t>
      </w:r>
    </w:p>
    <w:p w:rsidRPr="00C21FFE" w:rsidR="00F31FAF" w:rsidRDefault="00356547">
      <w:pPr>
        <w:rPr/>
      </w:pPr>
      <w:r w:rsidRPr="&lt;w:rPr xmlns:w=&quot;http://schemas.openxmlformats.org/wordprocessingml/2006/main&quot;&gt;&lt;w:lang w:val=&quot;es-ES_tradnl&quot; /&gt;&lt;/w:rPr&gt;">
        <w:rPr/>
        <w:t xml:space="preserve">Artículo VI</w:t>
      </w:r>
    </w:p>
    <w:p w:rsidRPr="00C21FFE" w:rsidR="00F31FAF" w:rsidRDefault="00356547">
      <w:pPr>
        <w:rPr/>
      </w:pPr>
      <w:r w:rsidRPr="&lt;w:rPr xmlns:w=&quot;http://schemas.openxmlformats.org/wordprocessingml/2006/main&quot;&gt;&lt;w:lang w:val=&quot;es-ES_tradnl&quot; /&gt;&lt;/w:rPr&gt;">
        <w:rPr/>
        <w:t xml:space="preserve">“A la jerarquía eclesiástica corresponde señalar los contenidos de la enseñanza y formación religiosa católica, así como proponer los libros de texto y material didáctico relativos a dicha enseñanza y formación.</w:t>
      </w:r>
    </w:p>
    <w:p w:rsidRPr="00C21FFE" w:rsidR="00F31FAF" w:rsidRDefault="00356547">
      <w:pPr>
        <w:rPr/>
      </w:pPr>
      <w:r w:rsidRPr="&lt;w:rPr xmlns:w=&quot;http://schemas.openxmlformats.org/wordprocessingml/2006/main&quot;&gt;&lt;w:lang w:val=&quot;es-ES_tradnl&quot; /&gt;&lt;/w:rPr&gt;">
        <w:rPr/>
        <w:t xml:space="preserve">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Pr="00C21FFE" w:rsidR="00F31FAF" w:rsidRDefault="00356547">
      <w:pPr>
        <w:rPr/>
      </w:pPr>
      <w:r w:rsidRPr="&lt;w:rPr xmlns:w=&quot;http://schemas.openxmlformats.org/wordprocessingml/2006/main&quot;&gt;&lt;w:lang w:val=&quot;es-ES_tradnl&quot; /&gt;&lt;/w:rPr&gt;">
        <w:rPr/>
        <w:t xml:space="preserve">Artículo VII</w:t>
      </w:r>
    </w:p>
    <w:p w:rsidRPr="00C21FFE" w:rsidR="00F31FAF" w:rsidRDefault="00356547">
      <w:pPr>
        <w:rPr/>
      </w:pPr>
      <w:r w:rsidRPr="&lt;w:rPr xmlns:w=&quot;http://schemas.openxmlformats.org/wordprocessingml/2006/main&quot;&gt;&lt;w:lang w:val=&quot;es-ES_tradnl&quot; /&gt;&lt;/w:rPr&gt;">
        <w:rPr/>
        <w:t xml:space="preserve">“La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Pr="00C21FFE" w:rsidR="00F31FAF" w:rsidRDefault="00356547">
      <w:pPr>
        <w:rPr/>
      </w:pPr>
      <w:r w:rsidRPr="&lt;w:rPr xmlns:w=&quot;http://schemas.openxmlformats.org/wordprocessingml/2006/main&quot;&gt;&lt;w:lang w:val=&quot;es-ES_tradnl&quot; /&gt;&lt;/w:rPr&gt;">
        <w:rPr/>
        <w:t xml:space="preserve">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Pr="00C21FFE" w:rsidR="00F31FAF" w:rsidRDefault="00356547">
      <w:pPr>
        <w:rPr/>
      </w:pPr>
      <w:r w:rsidRPr="&lt;w:rPr xmlns:w=&quot;http://schemas.openxmlformats.org/wordprocessingml/2006/main&quot;&gt;&lt;w:lang w:val=&quot;es-ES_tradnl&quot; /&gt;&lt;/w:rPr&gt;">
        <w:rPr/>
        <w:t xml:space="preserve">“La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Pr="00C21FFE" w:rsidR="00F31FAF" w:rsidRDefault="00356547">
      <w:pPr>
        <w:rPr/>
      </w:pPr>
      <w:r w:rsidRPr="&lt;w:rPr xmlns:w=&quot;http://schemas.openxmlformats.org/wordprocessingml/2006/main&quot;&gt;&lt;w:lang w:val=&quot;es-ES_tradnl&quot; /&gt;&lt;/w:rPr&gt;">
        <w:rPr/>
        <w:t xml:space="preserve">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Pr="00C21FFE" w:rsidR="00F31FAF" w:rsidRDefault="00356547">
      <w:pPr>
        <w:rPr/>
      </w:pPr>
      <w:r w:rsidRPr="&lt;w:rPr xmlns:w=&quot;http://schemas.openxmlformats.org/wordprocessingml/2006/main&quot;&gt;&lt;w:lang w:val=&quot;es-ES_tradnl&quot; /&gt;&lt;/w:rPr&gt;">
        <w:rPr/>
        <w:t xml:space="preserve">En relación con lo analizado en la STC 38/2007, la presente cuestión suscita únicamente el problema adicional relevante de considerar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(por todas, STC 125/2003, de 19 de junio, FJ 2).</w:t>
      </w:r>
    </w:p>
    <w:p w:rsidRPr="00C21FFE" w:rsidR="00F31FAF" w:rsidRDefault="00356547">
      <w:pPr>
        <w:rPr/>
      </w:pPr>
      <w:r w:rsidRPr="&lt;w:rPr xmlns:w=&quot;http://schemas.openxmlformats.org/wordprocessingml/2006/main&quot;&gt;&lt;w:lang w:val=&quot;es-ES_tradnl&quot; /&gt;&lt;/w:rPr&gt;">
        <w:rPr/>
        <w:t xml:space="preserve">Sin embargo,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Pr="00C21FFE" w:rsidR="00F31FAF" w:rsidRDefault="00356547">
      <w:pPr>
        <w:rPr/>
      </w:pPr>
      <w:r w:rsidRPr="&lt;w:rPr xmlns:w=&quot;http://schemas.openxmlformats.org/wordprocessingml/2006/main&quot;&gt;&lt;w:lang w:val=&quot;es-ES_tradnl&quot; /&gt;&lt;/w:rPr&gt;">
        <w:rPr/>
        <w:t xml:space="preserve">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Pr="00C21FFE" w:rsidR="00F31FAF" w:rsidRDefault="00356547">
      <w:pPr>
        <w:rPr/>
      </w:pPr>
      <w:r w:rsidRPr="&lt;w:rPr xmlns:w=&quot;http://schemas.openxmlformats.org/wordprocessingml/2006/main&quot;&gt;&lt;w:lang w:val=&quot;es-ES_tradnl&quot; /&gt;&lt;/w:rPr&gt;">
        <w:rPr/>
        <w:t xml:space="preserve">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Pr="00C21FFE" w:rsidR="00F31FAF" w:rsidRDefault="00356547">
      <w:pPr>
        <w:rPr/>
      </w:pPr>
      <w:r w:rsidRPr="&lt;w:rPr xmlns:w=&quot;http://schemas.openxmlformats.org/wordprocessingml/2006/main&quot;&gt;&lt;w:lang w:val=&quot;es-ES_tradnl&quot; /&gt;&lt;/w:rPr&gt;">
        <w:rPr/>
        <w:t xml:space="preserve">Procede reiterar, por ello, el pronunciamiento efectuado en la referida STC 38/2007, de 15 de febrero, con íntegra remisión a la fundamentación jurídica en ella contenida.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