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19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2764-2004,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30 de abril de 2004 se registró en este Tribunal escrito del Presidente de la Sala de lo Social del Tribunal Superior de Justicia de Canarias al que se adjuntaba testimonio del rollo de suplicación núm. 1431/2003 y Auto de 26 de febrero de 2004,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Doña Araceli del Carmen Gómez Jaén había venido prestando servicios ininterrumpidamente para la Consejería de Educación, Cultura y Deportes del Gobierno de Canarias, como profesora de religión y moral católica, desde el 1 de septiembre de 1994. En autos 943-2001 seguidos por despido a instancia de la trabajadora recayó Sentencia de 26 de abril de 2002 que declaró la nulidad del despido de la actora y condenó a la Consejería demandada a la inmediata readmisión de la trabajadora, con abono de los salarios dejados de percibir, y al pago a la misma de una indemnización por vulneración de sus derechos fundamentales a la libertad de expresión, a la huelga y a la tutela judicial. En ejecución de dicha Sentencia la Consejería formalizó con la trabajadora contrato de duración determinada en fecha 16-07-02, que finalizó el 31 de agosto de 2002. La Consejería no ha procedido a contratar a la actora para el curso escolar 2002-2003, al haber sido incluida en un escrito remitido por el Obispado de Canarias a la Consejería en el que se acordaba no proponer a la trabajadora para su contratación al no reunir los requisitos de idoneidad necesarios. La trabajadora participó activamente como integrante del comité de huelga en las huelgas desarrolladas de enero a junio de 2000. Está afiliada a la organización sindical “Sindicato de Trabajadores de la Enseñanza de Canarias- Intersindical Canaria”, así como a la “Asociación de Profesores de Religión de Canarias”. La huelga, el primer despido de la actora y la posición del Obispado contrario a aquella fueron objeto de seguimiento en los medios de comunicación local. </w:t>
      </w:r>
    </w:p>
    <w:p w:rsidRPr="00C21FFE" w:rsidR="00F31FAF" w:rsidRDefault="00356547">
      <w:pPr>
        <w:rPr/>
      </w:pPr>
      <w:r w:rsidRPr="&lt;w:rPr xmlns:w=&quot;http://schemas.openxmlformats.org/wordprocessingml/2006/main&quot;&gt;&lt;w:lang w:val=&quot;es-ES_tradnl&quot; /&gt;&lt;/w:rPr&gt;">
        <w:rPr/>
        <w:t xml:space="preserve">b) Tras efectuar reclamación previa en fecha 12 de septiembre de 2002, que resultó desestimada por Resolución de 26 de diciembre de 2002, la Sra. Gómez Jaén interpuso demanda por despido el 20 de septiembre de 2002, cuyo conocimiento correspondió al Juzgado de lo Social núm. 5 de Las Palmas de Gran Canaria. </w:t>
      </w:r>
    </w:p>
    <w:p w:rsidRPr="00C21FFE" w:rsidR="00F31FAF" w:rsidRDefault="00356547">
      <w:pPr>
        <w:rPr/>
      </w:pPr>
      <w:r w:rsidRPr="&lt;w:rPr xmlns:w=&quot;http://schemas.openxmlformats.org/wordprocessingml/2006/main&quot;&gt;&lt;w:lang w:val=&quot;es-ES_tradnl&quot; /&gt;&lt;/w:rPr&gt;">
        <w:rPr/>
        <w:t xml:space="preserve">c) La demanda dio lugar a los autos núm. 905-02, que concluyeron con Sentencia de 13 de mayo de 2003 que estimó la demanda declarando la nulidad del despido por vulneración del derecho de huelga y del derecho a la tutela judicial efectiva y condenando a la Consejería de Educación, Cultura y Deportes del Gobierno de Canarias a la readmisión de la trabajadora, con abono de los salarios dejados de percibir, así como a abonar a la actora, en concepto de indemnización por daños y perjuicios, la cantidad de 3.005,07 €. </w:t>
      </w:r>
    </w:p>
    <w:p w:rsidRPr="00C21FFE" w:rsidR="00F31FAF" w:rsidRDefault="00356547">
      <w:pPr>
        <w:rPr/>
      </w:pPr>
      <w:r w:rsidRPr="&lt;w:rPr xmlns:w=&quot;http://schemas.openxmlformats.org/wordprocessingml/2006/main&quot;&gt;&lt;w:lang w:val=&quot;es-ES_tradnl&quot; /&gt;&lt;/w:rPr&gt;">
        <w:rPr/>
        <w:t xml:space="preserve">d) La Comunidad Autónoma interpuso recurso de suplicación ante la Sala de lo Social del Tribunal Superior de Justicia de Canarias (rollo núm. 1431-2003), que ha elevado la presente cuestión de inconstitucionalidad. Previamente, y de conformidad con lo dispuesto en el art. 35.2 LOTC, dictó providencia, de 3 de febrero de 2004,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1979. En dicho proveído se señalaban como supuestamente conculcados los arts. 9, 14, 16, 18, 20, 23, 24, 27 y 103 de la Constitución. </w:t>
      </w:r>
    </w:p>
    <w:p w:rsidRPr="00C21FFE" w:rsidR="00F31FAF" w:rsidRDefault="00356547">
      <w:pPr>
        <w:rPr/>
      </w:pPr>
      <w:r w:rsidRPr="&lt;w:rPr xmlns:w=&quot;http://schemas.openxmlformats.org/wordprocessingml/2006/main&quot;&gt;&lt;w:lang w:val=&quot;es-ES_tradnl&quot; /&gt;&lt;/w:rPr&gt;">
        <w:rP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 </w:t>
      </w:r>
    </w:p>
    <w:p w:rsidRPr="00C21FFE" w:rsidR="00F31FAF" w:rsidRDefault="00356547">
      <w:pPr>
        <w:rPr/>
      </w:pPr>
      <w:r w:rsidRPr="&lt;w:rPr xmlns:w=&quot;http://schemas.openxmlformats.org/wordprocessingml/2006/main&quot;&gt;&lt;w:lang w:val=&quot;es-ES_tradnl&quot; /&gt;&lt;/w:rPr&gt;">
        <w:rPr/>
        <w:t xml:space="preserve">f) La demandante consideró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Pr="00C21FFE" w:rsidR="00F31FAF" w:rsidRDefault="00356547">
      <w:pPr>
        <w:rPr/>
      </w:pPr>
      <w:r w:rsidRPr="&lt;w:rPr xmlns:w=&quot;http://schemas.openxmlformats.org/wordprocessingml/2006/main&quot;&gt;&lt;w:lang w:val=&quot;es-ES_tradnl&quot; /&gt;&lt;/w:rPr&gt;">
        <w:rPr/>
        <w:t xml:space="preserve">g) Tanto el Obispado de Canarias como el Gobierno de Canarias y el Abogado del Estado se opusieron al planteamiento de la cuestión. </w:t>
      </w:r>
    </w:p>
    <w:p w:rsidRPr="00C21FFE" w:rsidR="00F31FAF" w:rsidRDefault="00356547">
      <w:pPr>
        <w:rPr/>
      </w:pPr>
      <w:r w:rsidRPr="&lt;w:rPr xmlns:w=&quot;http://schemas.openxmlformats.org/wordprocessingml/2006/main&quot;&gt;&lt;w:lang w:val=&quot;es-ES_tradnl&quot; /&gt;&lt;/w:rPr&gt;">
        <w:rPr/>
        <w:t xml:space="preserve">El Obispado se remitió íntegramente a lo informado en sus alegaciones ante providencias idénticas dictadas por la misma Sala con anterioridad en otros asuntos semejantes.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 Finalmente, el Abogado del Estado hizo suyos los argumentos contenidos en el fundamento jurídico tercero de la Sentencia recurrida, que excluyen cualquier posible controversia sobe la pretendida vulneración de los artículos citados en 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26 de febrero de 2004,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Pr="00C21FFE" w:rsidR="00F31FAF" w:rsidRDefault="00356547">
      <w:pPr>
        <w:rPr/>
      </w:pPr>
      <w:r w:rsidRPr="&lt;w:rPr xmlns:w=&quot;http://schemas.openxmlformats.org/wordprocessingml/2006/main&quot;&gt;&lt;w:lang w:val=&quot;es-ES_tradnl&quot; /&gt;&lt;/w:rPr&gt;">
        <w:rP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Pr="00C21FFE" w:rsidR="00F31FAF" w:rsidRDefault="00356547">
      <w:pPr>
        <w:rPr/>
      </w:pPr>
      <w:r w:rsidRPr="&lt;w:rPr xmlns:w=&quot;http://schemas.openxmlformats.org/wordprocessingml/2006/main&quot;&gt;&lt;w:lang w:val=&quot;es-ES_tradnl&quot; /&gt;&lt;/w:rPr&gt;">
        <w:rP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Pr="00C21FFE" w:rsidR="00F31FAF" w:rsidRDefault="00356547">
      <w:pPr>
        <w:rPr/>
      </w:pPr>
      <w:r w:rsidRPr="&lt;w:rPr xmlns:w=&quot;http://schemas.openxmlformats.org/wordprocessingml/2006/main&quot;&gt;&lt;w:lang w:val=&quot;es-ES_tradnl&quot; /&gt;&lt;/w:rPr&gt;">
        <w:rP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Pr="00C21FFE" w:rsidR="00F31FAF" w:rsidRDefault="00356547">
      <w:pPr>
        <w:rPr/>
      </w:pPr>
      <w:r w:rsidRPr="&lt;w:rPr xmlns:w=&quot;http://schemas.openxmlformats.org/wordprocessingml/2006/main&quot;&gt;&lt;w:lang w:val=&quot;es-ES_tradnl&quot; /&gt;&lt;/w:rPr&gt;">
        <w:rPr/>
        <w:t xml:space="preserve">La Sala cuestiona asimismo la constitucionalidad de la condición de empleo público atribuida a los puestos de trabajo de los profesores de religión católica y resultante de la disposición adicional segunda de la Ley Orgánica 1/1990,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mayo de 2004 la Sección Segunda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126, de 25 de mayo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28 de mayo de 2004, el Presidente del Congreso de los Diputados puso en conocimiento del Tribunal que la Cámara no se personaría en el procedimiento ni formularía alegaciones, remitiendo a la Dirección de Estudios y Documentación de su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28 de mayo de 2004, el Presidente del Senado comunicó que la Mesa de la Cámara había acordado darse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Abogado del Estado se registró en el Tribunal el 1 de junio de 2004.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w:t>
      </w:r>
    </w:p>
    <w:p w:rsidRPr="00C21FFE" w:rsidR="00F31FAF" w:rsidRDefault="00356547">
      <w:pPr>
        <w:rPr/>
      </w:pPr>
      <w:r w:rsidRPr="&lt;w:rPr xmlns:w=&quot;http://schemas.openxmlformats.org/wordprocessingml/2006/main&quot;&gt;&lt;w:lang w:val=&quot;es-ES_tradnl&quot; /&gt;&lt;/w:rPr&gt;">
        <w:rPr/>
        <w:t xml:space="preserve">Por otra parte, resalta el Abogado del Estado la existencia de una novedad legislativa sobrevenida, dado que la disposición adicional segunda de la Ley Orgánica1/1990 ha sido derogada expresamente por la Ley Orgánica 10/2002, de 23 de diciembre, de calidad de la educación, siendo obvio, sin embargo, que tal derogación no priva de objeto a la cuestión.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pasan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Pr="00C21FFE" w:rsidR="00F31FAF" w:rsidRDefault="00356547">
      <w:pPr>
        <w:rPr/>
      </w:pPr>
      <w:r w:rsidRPr="&lt;w:rPr xmlns:w=&quot;http://schemas.openxmlformats.org/wordprocessingml/2006/main&quot;&gt;&lt;w:lang w:val=&quot;es-ES_tradnl&quot; /&gt;&lt;/w:rPr&gt;">
        <w:rP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Pr="00C21FFE" w:rsidR="00F31FAF" w:rsidRDefault="00356547">
      <w:pPr>
        <w:rPr/>
      </w:pPr>
      <w:r w:rsidRPr="&lt;w:rPr xmlns:w=&quot;http://schemas.openxmlformats.org/wordprocessingml/2006/main&quot;&gt;&lt;w:lang w:val=&quot;es-ES_tradnl&quot; /&gt;&lt;/w:rPr&gt;">
        <w:rP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Pr="00C21FFE" w:rsidR="00F31FAF" w:rsidRDefault="00356547">
      <w:pPr>
        <w:rPr/>
      </w:pPr>
      <w:r w:rsidRPr="&lt;w:rPr xmlns:w=&quot;http://schemas.openxmlformats.org/wordprocessingml/2006/main&quot;&gt;&lt;w:lang w:val=&quot;es-ES_tradnl&quot; /&gt;&lt;/w:rPr&gt;">
        <w:rPr/>
        <w:t xml:space="preserve">Es patente, para el Abogado del Estado, que la libertad religiosa tiene, junto al individual, un aspecto comunitario o colectivo. En esta segunda dimensión, sus titulares son las Iglesias, confesiones y comunidades religiosas (art. 2.2 Ley OrgánicaRL, SSTC 64/1988, 46/2001 y 128/2001). En la dimensión individual, el art. 2.1 c) Ley OrgánicaLR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Pr="00C21FFE" w:rsidR="00F31FAF" w:rsidRDefault="00356547">
      <w:pPr>
        <w:rPr/>
      </w:pPr>
      <w:r w:rsidRPr="&lt;w:rPr xmlns:w=&quot;http://schemas.openxmlformats.org/wordprocessingml/2006/main&quot;&gt;&lt;w:lang w:val=&quot;es-ES_tradnl&quot; /&gt;&lt;/w:rPr&gt;">
        <w:rP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Pr="00C21FFE" w:rsidR="00F31FAF" w:rsidRDefault="00356547">
      <w:pPr>
        <w:rPr/>
      </w:pPr>
      <w:r w:rsidRPr="&lt;w:rPr xmlns:w=&quot;http://schemas.openxmlformats.org/wordprocessingml/2006/main&quot;&gt;&lt;w:lang w:val=&quot;es-ES_tradnl&quot; /&gt;&lt;/w:rPr&gt;">
        <w:rP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Pr="00C21FFE" w:rsidR="00F31FAF" w:rsidRDefault="00356547">
      <w:pPr>
        <w:rPr/>
      </w:pPr>
      <w:r w:rsidRPr="&lt;w:rPr xmlns:w=&quot;http://schemas.openxmlformats.org/wordprocessingml/2006/main&quot;&gt;&lt;w:lang w:val=&quot;es-ES_tradnl&quot; /&gt;&lt;/w:rPr&gt;">
        <w:rP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Pr="00C21FFE" w:rsidR="00F31FAF" w:rsidRDefault="00356547">
      <w:pPr>
        <w:rPr/>
      </w:pPr>
      <w:r w:rsidRPr="&lt;w:rPr xmlns:w=&quot;http://schemas.openxmlformats.org/wordprocessingml/2006/main&quot;&gt;&lt;w:lang w:val=&quot;es-ES_tradnl&quot; /&gt;&lt;/w:rPr&gt;">
        <w:rP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Pr="00C21FFE" w:rsidR="00F31FAF" w:rsidRDefault="00356547">
      <w:pPr>
        <w:rPr/>
      </w:pPr>
      <w:r w:rsidRPr="&lt;w:rPr xmlns:w=&quot;http://schemas.openxmlformats.org/wordprocessingml/2006/main&quot;&gt;&lt;w:lang w:val=&quot;es-ES_tradnl&quot; /&gt;&lt;/w:rPr&gt;">
        <w:rP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Pr="00C21FFE" w:rsidR="00F31FAF" w:rsidRDefault="00356547">
      <w:pPr>
        <w:rPr/>
      </w:pPr>
      <w:r w:rsidRPr="&lt;w:rPr xmlns:w=&quot;http://schemas.openxmlformats.org/wordprocessingml/2006/main&quot;&gt;&lt;w:lang w:val=&quot;es-ES_tradnl&quot; /&gt;&lt;/w:rPr&gt;">
        <w:rP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LORL y 6.1 c) Ley Orgánica 5/1985], los padres católicos [arts. 16.1 y 27.3 CE, 2.1 c) LORL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Pr="00C21FFE" w:rsidR="00F31FAF" w:rsidRDefault="00356547">
      <w:pPr>
        <w:rPr/>
      </w:pPr>
      <w:r w:rsidRPr="&lt;w:rPr xmlns:w=&quot;http://schemas.openxmlformats.org/wordprocessingml/2006/main&quot;&gt;&lt;w:lang w:val=&quot;es-ES_tradnl&quot; /&gt;&lt;/w:rPr&gt;">
        <w:rP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Pr="00C21FFE" w:rsidR="00F31FAF" w:rsidRDefault="00356547">
      <w:pPr>
        <w:rPr/>
      </w:pPr>
      <w:r w:rsidRPr="&lt;w:rPr xmlns:w=&quot;http://schemas.openxmlformats.org/wordprocessingml/2006/main&quot;&gt;&lt;w:lang w:val=&quot;es-ES_tradnl&quot; /&gt;&lt;/w:rPr&gt;">
        <w:rP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Pr="00C21FFE" w:rsidR="00F31FAF" w:rsidRDefault="00356547">
      <w:pPr>
        <w:rPr/>
      </w:pPr>
      <w:r w:rsidRPr="&lt;w:rPr xmlns:w=&quot;http://schemas.openxmlformats.org/wordprocessingml/2006/main&quot;&gt;&lt;w:lang w:val=&quot;es-ES_tradnl&quot; /&gt;&lt;/w:rPr&gt;">
        <w:rPr/>
        <w:t xml:space="preserve">Finalmente, carece de todo fundamento sólido, a juicio del Abogado del Estado, atribuir a las disposiciones cuestionadas infracción alguna de los arts. 20.1.a)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Pr="00C21FFE" w:rsidR="00F31FAF" w:rsidRDefault="00356547">
      <w:pPr>
        <w:rPr/>
      </w:pPr>
      <w:r w:rsidRPr="&lt;w:rPr xmlns:w=&quot;http://schemas.openxmlformats.org/wordprocessingml/2006/main&quot;&gt;&lt;w:lang w:val=&quot;es-ES_tradnl&quot; /&gt;&lt;/w:rPr&gt;">
        <w:rPr/>
        <w:t xml:space="preserve">En consecuencia, el Abogado del Estado suplica del Tribunal que dicte Sentencia por la que declare mal planteada e inadmisible la cuestión respecto al párrafo primero de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8 de junio de 2004. Tras referir los pormenores del planteamiento de la cuestión y resumir los términos de la duda de constitucionalidad planteada por la Sala de lo Social, el Fiscal General del Estado se detiene en el examen de la relevancia de las normas cuestionadas por relación a la cuestión debatida en el proceso judicial, concluyendo que, con independencia de las razones que se esgrimirán para interesar la desestimación del fondo de la cuestión “la Fiscalía General no cree que en este caso se pueda apreciar, con anticipación y separación de la cuestión de fondo y por discutibles que nos parezcan los argumentos de la Sala cuestionante 'una notoria ausencia de relación' entre la aplicabilidad y validez de las normas que se cuestionan y el fallo que ha de dictarse en el proceso”, por lo que estima cumplido el requisito procesal examinado, en los términos exigidos por el Tribunal Constitucional. </w:t>
      </w:r>
    </w:p>
    <w:p w:rsidRPr="00C21FFE" w:rsidR="00F31FAF" w:rsidRDefault="00356547">
      <w:pPr>
        <w:rPr/>
      </w:pPr>
      <w:r w:rsidRPr="&lt;w:rPr xmlns:w=&quot;http://schemas.openxmlformats.org/wordprocessingml/2006/main&quot;&gt;&lt;w:lang w:val=&quot;es-ES_tradnl&quot; /&gt;&lt;/w:rPr&gt;">
        <w:rPr/>
        <w:t xml:space="preserve">Con carácter previo al examen de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o bien será preciso revisarlo, una vez celebrado, a la luz de la Constitución, correspondiendo al 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Pr="00C21FFE" w:rsidR="00F31FAF" w:rsidRDefault="00356547">
      <w:pPr>
        <w:rPr/>
      </w:pPr>
      <w:r w:rsidRPr="&lt;w:rPr xmlns:w=&quot;http://schemas.openxmlformats.org/wordprocessingml/2006/main&quot;&gt;&lt;w:lang w:val=&quot;es-ES_tradnl&quot; /&gt;&lt;/w:rPr&gt;">
        <w:rP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y su carácter temporal, sin impedir que las cuestiones litigiosas que puedan surgir entre empresarios y trabajadores como consecuencia del contrato de trabajo dejen de estar sujetas al conocimiento pleno de la jurisdicción social, si bien, a la vista de la aconfesionalidad del Estado (art. 16.3 CE) ninguno de los órganos de aquél podrá inmiscuirse en las valoraciones de idoneidad que corresponden al Ordinario. </w:t>
      </w:r>
    </w:p>
    <w:p w:rsidRPr="00C21FFE" w:rsidR="00F31FAF" w:rsidRDefault="00356547">
      <w:pPr>
        <w:rPr/>
      </w:pPr>
      <w:r w:rsidRPr="&lt;w:rPr xmlns:w=&quot;http://schemas.openxmlformats.org/wordprocessingml/2006/main&quot;&gt;&lt;w:lang w:val=&quot;es-ES_tradnl&quot; /&gt;&lt;/w:rPr&gt;">
        <w:rPr/>
        <w:t xml:space="preserve">Tampoco la dicción literal de los artículos III, VI y VII del Acuerdo con la Santa Sede puede suponer, a juicio del Fiscal General del Estado, motivo de discrepancia con el derecho a la tutela judicial efectiva, porque la reserva a favor del Obispo de proponer a los profesores idóneos para ser contratados forma parte del derecho a la libertad religiosa (art. 16.1 CE), que es lo que lo justifica, siendo del todo razonable, proporcional al fin que persigue y necesario, al igual que ocurre en los matrimonios canónicos, que la designación de los profesores y la determinación de los contenidos que han de impartir venga atribuida a la autoridad eclesiástica, pues en un Estado aconfesional tales valoraciones y señalamientos no podrían hacerse por la Administración del Estado sin vulnerar el derecho a la libertad religiosa (art. 16.1 CE). </w:t>
      </w:r>
    </w:p>
    <w:p w:rsidRPr="00C21FFE" w:rsidR="00F31FAF" w:rsidRDefault="00356547">
      <w:pPr>
        <w:rPr/>
      </w:pPr>
      <w:r w:rsidRPr="&lt;w:rPr xmlns:w=&quot;http://schemas.openxmlformats.org/wordprocessingml/2006/main&quot;&gt;&lt;w:lang w:val=&quot;es-ES_tradnl&quot; /&gt;&lt;/w:rPr&gt;">
        <w:rPr/>
        <w:t xml:space="preserve">En definitiva -continúa el escrito de alegaciones- es difícil en extremo apreciar la existencia de un conflicto entre el art. 24.1 CE y las disposiciones normativas cuestionadas, pues no cabe extraer de las mismas la consecuencia de una inmunidad absoluta, sino más bien de la que es necesaria y proporcionada para que el ejercicio del derecho de libertad religiosa sea efectivo y la aconfesionalidad del Estado sea respetada. </w:t>
      </w:r>
    </w:p>
    <w:p w:rsidRPr="00C21FFE" w:rsidR="00F31FAF" w:rsidRDefault="00356547">
      <w:pPr>
        <w:rPr/>
      </w:pPr>
      <w:r w:rsidRPr="&lt;w:rPr xmlns:w=&quot;http://schemas.openxmlformats.org/wordprocessingml/2006/main&quot;&gt;&lt;w:lang w:val=&quot;es-ES_tradnl&quot; /&gt;&lt;/w:rPr&gt;">
        <w:rPr/>
        <w:t xml:space="preserve">Por lo que hace a la duda de inconstitucionalidad referida a la asunción por el Estado de determinadas normas canónicas como criterios rectores de un proceso selectivo, se sostiene en el escrito de alegaciones que las normas objeto de la presente cuestión, abstractamente consideradas en su contraste con el art. 9.3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Es justamente la necesidad de hacer efectivo el derecho a la libertad religiosa (art. 16.1 CE) en el seno de un Estado que se declara aconfesional (art. 16.3 CE) lo que justifica sobradamente la regulación legal que se cuestiona y lo que la aleja de cualquier arbitrariedad. </w:t>
      </w:r>
    </w:p>
    <w:p w:rsidRPr="00C21FFE" w:rsidR="00F31FAF" w:rsidRDefault="00356547">
      <w:pPr>
        <w:rPr/>
      </w:pPr>
      <w:r w:rsidRPr="&lt;w:rPr xmlns:w=&quot;http://schemas.openxmlformats.org/wordprocessingml/2006/main&quot;&gt;&lt;w:lang w:val=&quot;es-ES_tradnl&quot; /&gt;&lt;/w:rPr&gt;">
        <w:rP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ni la descripción de las cualidades requeridas supone la adopción de elementos arbitrarios o no proporcionados al fin propuesto, pues éste no es otro que el de procurar la correcta comunicación o enseñanza de una determinada doctrina, para cuyo fin la Iglesia precisa examinar la aptitud de quien debe desempeñar dicho cometido, acudiendo para ello a criterios que le son propios, como la “recta doctrina”, el “testimonio de vida cristiana” o la “aptitud pedagógica”, términos éstos que dotan de razonable eficacia al ejercicio de esta libertad. Como recoge la Directiva 2000/78/CE, del Consejo (art. 4) “no constituye discriminación una diferencia de trato basada en la religión o las convicciones de una persona cuando, por la naturaleza de estas actividades o el contexto en que se desarrollen, dicha característica constituya un requisito profesional esencial, legítimo y justificado respecto de la ética de la organización o cuando el objetivo sea legítimo y el objetivo proporcionado”. </w:t>
      </w:r>
    </w:p>
    <w:p w:rsidRPr="00C21FFE" w:rsidR="00F31FAF" w:rsidRDefault="00356547">
      <w:pPr>
        <w:rPr/>
      </w:pPr>
      <w:r w:rsidRPr="&lt;w:rPr xmlns:w=&quot;http://schemas.openxmlformats.org/wordprocessingml/2006/main&quot;&gt;&lt;w:lang w:val=&quot;es-ES_tradnl&quot; /&gt;&lt;/w:rPr&gt;">
        <w:rPr/>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Por lo demás, la invocación de este precepto, que pudiera estar justificada en la CI 4831/02, a la vista de los hechos sobre los que la Sala había de pronunciarse, no parece que encuentre interés alguno en la presente cuestión. </w:t>
      </w:r>
    </w:p>
    <w:p w:rsidRPr="00C21FFE" w:rsidR="00F31FAF" w:rsidRDefault="00356547">
      <w:pPr>
        <w:rPr/>
      </w:pPr>
      <w:r w:rsidRPr="&lt;w:rPr xmlns:w=&quot;http://schemas.openxmlformats.org/wordprocessingml/2006/main&quot;&gt;&lt;w:lang w:val=&quot;es-ES_tradnl&quot; /&gt;&lt;/w:rPr&gt;">
        <w:rP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Sólo un Estado confesional, afirma el Fiscal General, podría señalar los profesores, o revisar la idoneidad de los elegidos por la Iglesia. </w:t>
      </w:r>
    </w:p>
    <w:p w:rsidRPr="00C21FFE" w:rsidR="00F31FAF" w:rsidRDefault="00356547">
      <w:pPr>
        <w:rPr/>
      </w:pPr>
      <w:r w:rsidRPr="&lt;w:rPr xmlns:w=&quot;http://schemas.openxmlformats.org/wordprocessingml/2006/main&quot;&gt;&lt;w:lang w:val=&quot;es-ES_tradnl&quot; /&gt;&lt;/w:rPr&gt;">
        <w:rPr/>
        <w:t xml:space="preserve">A continuación,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Pr="00C21FFE" w:rsidR="00F31FAF" w:rsidRDefault="00356547">
      <w:pPr>
        <w:rPr/>
      </w:pPr>
      <w:r w:rsidRPr="&lt;w:rPr xmlns:w=&quot;http://schemas.openxmlformats.org/wordprocessingml/2006/main&quot;&gt;&lt;w:lang w:val=&quot;es-ES_tradnl&quot; /&gt;&lt;/w:rPr&gt;">
        <w:rPr/>
        <w:t xml:space="preserve">Finalmente, rechaza el Fiscal que los preceptos cuestionados vulneren los derechos a la libertad de expresión (art. 20.1 CE) y a la huelga (28.2 CE), estando, a su juicio, la duda de la Sala directamente relacionada con la relativa a si los Tribunales del Estado pueden o no revisar la NO propuesta de idoneidad que corresponde hacer al Ordinario para, en su caso, detectar las vulneraciones de derechos fundamentales en que “tal omisión” hubiera incurrido, por lo que resultan aplicables todas las consideraciones ya realizadas en torno al derecho a la tutela judicial efectiva, debiéndose descartar, en lo demás, que en la literalidad de los preceptos que se cuestionan exista aspecto alguno que choque por sí mismo con los preceptos constitucionales alegados. </w:t>
      </w:r>
    </w:p>
    <w:p w:rsidRPr="00C21FFE" w:rsidR="00F31FAF" w:rsidRDefault="00356547">
      <w:pPr>
        <w:rPr/>
      </w:pPr>
      <w:r w:rsidRPr="&lt;w:rPr xmlns:w=&quot;http://schemas.openxmlformats.org/wordprocessingml/2006/main&quot;&gt;&lt;w:lang w:val=&quot;es-ES_tradnl&quot; /&gt;&lt;/w:rPr&gt;">
        <w:rPr/>
        <w:t xml:space="preserve">En virtud de lo expuesto, el Fiscal General del Estado interesa del Tribunal que dicte Sentencia desestimatoria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17 de abril de 2007 se acordó señalar para el día 19 del mismo mes y año, la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Pr="00C21FFE" w:rsidR="00F31FAF" w:rsidRDefault="00356547">
      <w:pPr>
        <w:rPr/>
      </w:pPr>
      <w:r w:rsidRPr="&lt;w:rPr xmlns:w=&quot;http://schemas.openxmlformats.org/wordprocessingml/2006/main&quot;&gt;&lt;w:lang w:val=&quot;es-ES_tradnl&quot; /&gt;&lt;/w:rPr&gt;">
        <w:rPr/>
        <w:t xml:space="preserve">Artículo III</w:t>
      </w:r>
    </w:p>
    <w:p w:rsidRPr="00C21FFE" w:rsidR="00F31FAF" w:rsidRDefault="00356547">
      <w:pPr>
        <w:rPr/>
      </w:pPr>
      <w:r w:rsidRPr="&lt;w:rPr xmlns:w=&quot;http://schemas.openxmlformats.org/wordprocessingml/2006/main&quot;&gt;&lt;w:lang w:val=&quot;es-ES_tradnl&quot; /&gt;&lt;/w:rPr&gt;">
        <w:rPr/>
        <w:t xml:space="preserve">“En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Pr="00C21FFE" w:rsidR="00F31FAF" w:rsidRDefault="00356547">
      <w:pPr>
        <w:rPr/>
      </w:pPr>
      <w:r w:rsidRPr="&lt;w:rPr xmlns:w=&quot;http://schemas.openxmlformats.org/wordprocessingml/2006/main&quot;&gt;&lt;w:lang w:val=&quot;es-ES_tradnl&quot; /&gt;&lt;/w:rPr&gt;">
        <w:rPr/>
        <w:t xml:space="preserve">En los centros públicos de Educación Preescolar, de Educación General Básica y de Formación Profesional de primer grado, la designación, en la forma antes señalada, recaerá con preferencia en los profesores de EGB que así lo soliciten.</w:t>
      </w:r>
    </w:p>
    <w:p w:rsidRPr="00C21FFE" w:rsidR="00F31FAF" w:rsidRDefault="00356547">
      <w:pPr>
        <w:rPr/>
      </w:pPr>
      <w:r w:rsidRPr="&lt;w:rPr xmlns:w=&quot;http://schemas.openxmlformats.org/wordprocessingml/2006/main&quot;&gt;&lt;w:lang w:val=&quot;es-ES_tradnl&quot; /&gt;&lt;/w:rPr&gt;">
        <w:rPr/>
        <w:t xml:space="preserve">Nadie estará obligado a impartir enseñanza religiosa.</w:t>
      </w:r>
    </w:p>
    <w:p w:rsidRPr="00C21FFE" w:rsidR="00F31FAF" w:rsidRDefault="00356547">
      <w:pPr>
        <w:rPr/>
      </w:pPr>
      <w:r w:rsidRPr="&lt;w:rPr xmlns:w=&quot;http://schemas.openxmlformats.org/wordprocessingml/2006/main&quot;&gt;&lt;w:lang w:val=&quot;es-ES_tradnl&quot; /&gt;&lt;/w:rPr&gt;">
        <w:rPr/>
        <w:t xml:space="preserve">Los Profesores de religión formarán parte, a todos los efectos, del Claustro de Profesores de los respectivos Centros”.</w:t>
      </w:r>
    </w:p>
    <w:p w:rsidRPr="00C21FFE" w:rsidR="00F31FAF" w:rsidRDefault="00356547">
      <w:pPr>
        <w:rPr/>
      </w:pPr>
      <w:r w:rsidRPr="&lt;w:rPr xmlns:w=&quot;http://schemas.openxmlformats.org/wordprocessingml/2006/main&quot;&gt;&lt;w:lang w:val=&quot;es-ES_tradnl&quot; /&gt;&lt;/w:rPr&gt;">
        <w:rPr/>
        <w:t xml:space="preserve">Artículo VI</w:t>
      </w:r>
    </w:p>
    <w:p w:rsidRPr="00C21FFE" w:rsidR="00F31FAF" w:rsidRDefault="00356547">
      <w:pPr>
        <w:rPr/>
      </w:pPr>
      <w:r w:rsidRPr="&lt;w:rPr xmlns:w=&quot;http://schemas.openxmlformats.org/wordprocessingml/2006/main&quot;&gt;&lt;w:lang w:val=&quot;es-ES_tradnl&quot; /&gt;&lt;/w:rPr&gt;">
        <w:rPr/>
        <w:t xml:space="preserve">“A la jerarquía eclesiástica corresponde señalar los contenidos de la enseñanza y formación religiosa católica, así como proponer los libros de texto y material didáctico relativos a dicha enseñanza y formación.</w:t>
      </w:r>
    </w:p>
    <w:p w:rsidRPr="00C21FFE" w:rsidR="00F31FAF" w:rsidRDefault="00356547">
      <w:pPr>
        <w:rPr/>
      </w:pPr>
      <w:r w:rsidRPr="&lt;w:rPr xmlns:w=&quot;http://schemas.openxmlformats.org/wordprocessingml/2006/main&quot;&gt;&lt;w:lang w:val=&quot;es-ES_tradnl&quot; /&gt;&lt;/w:rPr&gt;">
        <w:rPr/>
        <w:t xml:space="preserve">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Pr="00C21FFE" w:rsidR="00F31FAF" w:rsidRDefault="00356547">
      <w:pPr>
        <w:rPr/>
      </w:pPr>
      <w:r w:rsidRPr="&lt;w:rPr xmlns:w=&quot;http://schemas.openxmlformats.org/wordprocessingml/2006/main&quot;&gt;&lt;w:lang w:val=&quot;es-ES_tradnl&quot; /&gt;&lt;/w:rPr&gt;">
        <w:rPr/>
        <w:t xml:space="preserve">Artículo VII</w:t>
      </w:r>
    </w:p>
    <w:p w:rsidRPr="00C21FFE" w:rsidR="00F31FAF" w:rsidRDefault="00356547">
      <w:pPr>
        <w:rPr/>
      </w:pPr>
      <w:r w:rsidRPr="&lt;w:rPr xmlns:w=&quot;http://schemas.openxmlformats.org/wordprocessingml/2006/main&quot;&gt;&lt;w:lang w:val=&quot;es-ES_tradnl&quot; /&gt;&lt;/w:rPr&gt;">
        <w:rPr/>
        <w:t xml:space="preserve">“La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Pr="00C21FFE" w:rsidR="00F31FAF" w:rsidRDefault="00356547">
      <w:pPr>
        <w:rPr/>
      </w:pPr>
      <w:r w:rsidRPr="&lt;w:rPr xmlns:w=&quot;http://schemas.openxmlformats.org/wordprocessingml/2006/main&quot;&gt;&lt;w:lang w:val=&quot;es-ES_tradnl&quot; /&gt;&lt;/w:rPr&gt;">
        <w:rPr/>
        <w:t xml:space="preserve">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
“La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Pr="00C21FFE" w:rsidR="00F31FAF" w:rsidRDefault="00356547">
      <w:pPr>
        <w:rPr/>
      </w:pPr>
      <w:r w:rsidRPr="&lt;w:rPr xmlns:w=&quot;http://schemas.openxmlformats.org/wordprocessingml/2006/main&quot;&gt;&lt;w:lang w:val=&quot;es-ES_tradnl&quot; /&gt;&lt;/w:rPr&gt;">
        <w:rPr/>
        <w:t xml:space="preserve">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1999”.瑸</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Pr="00C21FFE" w:rsidR="00F31FAF" w:rsidRDefault="00356547">
      <w:pPr>
        <w:rPr/>
      </w:pPr>
      <w:r w:rsidRPr="&lt;w:rPr xmlns:w=&quot;http://schemas.openxmlformats.org/wordprocessingml/2006/main&quot;&gt;&lt;w:lang w:val=&quot;es-ES_tradnl&quot; /&gt;&lt;/w:rPr&gt;">
        <w:rPr/>
        <w:t xml:space="preserve">En relación con lo analizado en la STC 38/2007, la presente cuestión suscita únicamente el problema adicional relevante de considerar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dada la fecha de los hechos que llevaron a la demanda de despido, (por todas, STC 125/2003, de 19 de junio, FJ 2).</w:t>
      </w:r>
    </w:p>
    <w:p w:rsidRPr="00C21FFE" w:rsidR="00F31FAF" w:rsidRDefault="00356547">
      <w:pPr>
        <w:rPr/>
      </w:pPr>
      <w:r w:rsidRPr="&lt;w:rPr xmlns:w=&quot;http://schemas.openxmlformats.org/wordprocessingml/2006/main&quot;&gt;&lt;w:lang w:val=&quot;es-ES_tradnl&quot; /&gt;&lt;/w:rPr&gt;">
        <w:rPr/>
        <w:t xml:space="preserve">Sin embargo,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Pr="00C21FFE" w:rsidR="00F31FAF" w:rsidRDefault="00356547">
      <w:pPr>
        <w:rPr/>
      </w:pPr>
      <w:r w:rsidRPr="&lt;w:rPr xmlns:w=&quot;http://schemas.openxmlformats.org/wordprocessingml/2006/main&quot;&gt;&lt;w:lang w:val=&quot;es-ES_tradnl&quot; /&gt;&lt;/w:rPr&gt;">
        <w:rPr/>
        <w:t xml:space="preserve">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Pr="00C21FFE" w:rsidR="00F31FAF" w:rsidRDefault="00356547">
      <w:pPr>
        <w:rPr/>
      </w:pPr>
      <w:r w:rsidRPr="&lt;w:rPr xmlns:w=&quot;http://schemas.openxmlformats.org/wordprocessingml/2006/main&quot;&gt;&lt;w:lang w:val=&quot;es-ES_tradnl&quot; /&gt;&lt;/w:rPr&gt;">
        <w:rPr/>
        <w:t xml:space="preserve">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Pr="00C21FFE" w:rsidR="00F31FAF" w:rsidRDefault="00356547">
      <w:pPr>
        <w:rPr/>
      </w:pPr>
      <w:r w:rsidRPr="&lt;w:rPr xmlns:w=&quot;http://schemas.openxmlformats.org/wordprocessingml/2006/main&quot;&gt;&lt;w:lang w:val=&quot;es-ES_tradnl&quot; /&gt;&lt;/w:rPr&gt;">
        <w:rPr/>
        <w:t xml:space="preserve">Procede reiterar, por ello, el pronunciamiento efectuado en la referida STC 38/2007, de 15 de febrero, con íntegra remisión a la fundamentación jurídica en ella contenida.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