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11578-2006, promovido por don Mohamed Benabde Lilah, representado por la Procuradora de los Tribunales doña Irene Gutiérrez Carrillo, contra el Auto dictado el 16 de noviembre de 2006 por la Sala de lo Penal del Tribunal Supremo en el recurso núm. 20421-2006, por el que se desestima el recurso de queja interpuesto contra el Auto de la Audiencia Provincial de Toledo (Sección Primera), de 24 de mayo de 2006, que denegó tener por preparado recurso de casación contra la Sentencia de 27 de febrero de 2006, por extemporáneo.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26 de diciembre de 2006 la Procuradora de los Tribunales doña Irene Gutiérrez Carrillo, en nombre y representación de don Mohamed Benabde Lilah, interpuso demanda de amparo contra la resolución a la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Por Sentencia de 27 de febrero de 2006 la Sección Primera de la Audiencia Provincial de Toledo condenó a don Mohamed Benabde Lilah como autor responsable de un delito de asesinato en grado de tentativa, imponiéndole la pena de siete años de prisión. </w:t>
      </w:r>
    </w:p>
    <w:p w:rsidRPr="00C21FFE" w:rsidR="00F31FAF" w:rsidRDefault="00356547">
      <w:pPr>
        <w:rPr/>
      </w:pPr>
      <w:r w:rsidRPr="&lt;w:rPr xmlns:w=&quot;http://schemas.openxmlformats.org/wordprocessingml/2006/main&quot;&gt;&lt;w:lang w:val=&quot;es-ES_tradnl&quot; /&gt;&lt;/w:rPr&gt;">
        <w:rPr/>
        <w:t xml:space="preserve">b) Esta Sentencia indica expresamente que contra la misma puede interponerse recurso de casación ante el Tribunal Supremo, “previa su preparación ante esta Audiencia a medio de escrito autorizado con firmas de letrado y procurador, dentro de los seis días siguientes a la última notificación”. </w:t>
      </w:r>
    </w:p>
    <w:p w:rsidRPr="00C21FFE" w:rsidR="00F31FAF" w:rsidRDefault="00356547">
      <w:pPr>
        <w:rPr/>
      </w:pPr>
      <w:r w:rsidRPr="&lt;w:rPr xmlns:w=&quot;http://schemas.openxmlformats.org/wordprocessingml/2006/main&quot;&gt;&lt;w:lang w:val=&quot;es-ES_tradnl&quot; /&gt;&lt;/w:rPr&gt;">
        <w:rPr/>
        <w:t xml:space="preserve">c) El 7 de abril de 2006 se notificó la Sentencia al recurrente, quien presentó el correspondiente escrito de interposición del recurso de casación el 19 de abril, último día del plazo conferido. </w:t>
      </w:r>
    </w:p>
    <w:p w:rsidRPr="00C21FFE" w:rsidR="00F31FAF" w:rsidRDefault="00356547">
      <w:pPr>
        <w:rPr/>
      </w:pPr>
      <w:r w:rsidRPr="&lt;w:rPr xmlns:w=&quot;http://schemas.openxmlformats.org/wordprocessingml/2006/main&quot;&gt;&lt;w:lang w:val=&quot;es-ES_tradnl&quot; /&gt;&lt;/w:rPr&gt;">
        <w:rPr/>
        <w:t xml:space="preserve">d) Por Auto de 24 de mayo de 2006 la Sala resolvió no tener por preparado el recurso por razón de la presentación del escrito de interposición fuera de plazo, a tenor del artículo 862 de la Ley de enjuiciamiento criminal, en el que se establece como plazo de preparación el de cinco días. </w:t>
      </w:r>
    </w:p>
    <w:p w:rsidRPr="00C21FFE" w:rsidR="00F31FAF" w:rsidRDefault="00356547">
      <w:pPr>
        <w:rPr/>
      </w:pPr>
      <w:r w:rsidRPr="&lt;w:rPr xmlns:w=&quot;http://schemas.openxmlformats.org/wordprocessingml/2006/main&quot;&gt;&lt;w:lang w:val=&quot;es-ES_tradnl&quot; /&gt;&lt;/w:rPr&gt;">
        <w:rPr/>
        <w:t xml:space="preserve">e) Interpuesto recurso de queja ante la Sala Segunda del Tribunal Supremo, ésta dictó Auto el 16 de noviembre de 2006 por el que resolvió desestimar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Mohamed Benabde Lilah afirma en su demanda de amparo que se ha producido una vulneración de su derecho fundamental a la tutela judicial efectiva (art. 24.1 CE), en su vertiente de acceso al recurso. Considera que fue inducido a error por la propia resolución judicial en cuanto al plazo para formular el recurso de casación y que, no obstante, el Tribunal opuso un posterior obstáculo a la admisión de la preparación del recurso de casación, como si el recurrente fuese el responsable de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la admisión a trámite de la demanda por providencia de 22 de julio de 2008, así como, en aplicación del art. 51 LOTC, requerir a los órganos judiciales la remisión del testimonio de las actuaciones correspondientes y el emplazamiento de quienes hubiesen sido parte en el procedimiento, a excepción de la parte recurrente, para que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9 de octubre de 2008 la Secretaría de Justicia de la Sala Segunda acordó, de conformidad con lo dispuesto en el art. 52 LOTC, dar vista de las actuaciones por plazo común de veinte días al Ministerio Fiscal y a las partes personadas para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sus alegaciones por escrito registrado en este Tribunal en fecha 27 de octubre de 2008, ratificándose en las ya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registrado el 25 de noviembre de 2008, por el que solicitó el otorgamiento del amparo. En su escrito sostiene que resulta “evidente” que la Sentencia de la Audiencia Provincial de Toledo contiene una indicación errónea del plazo para anunciar la interposición del recurso de casación. Este error judicial, añade, no puede producir efectos negativos en la esfera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Examinada la demanda, y verificándose que para su resolución resulta aplicable doctrina consolidada de este Tribunal, la Sala Segunda, mediante providencia de 18 de diciembre de 2008, acordó por unanimidad deferir la resolución del recurso a la Sección Tercera, de acuerdo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22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16 de noviembre de 2006 dictado por la Sala de lo Penal del Tribunal Supremo en el recurso núm. 20241-2004, por el que se desestima el recurso de queja interpuesto contra el Auto de la Audiencia Provincial de Toledo (Sección Primera), de 24 de mayo de 2006, que denegaba tener por preparado recurso de casación contra la Sentencia dictada el 27 de febrero de 2006. El Auto recurrido desestimó el recurso de queja interpuesto por don Mohamed Benabde Lilah al haberse incumplido el requisito temporal en la preparación del recurso.</w:t>
      </w:r>
    </w:p>
    <w:p w:rsidRPr="00C21FFE" w:rsidR="00F31FAF" w:rsidRDefault="00356547">
      <w:pPr>
        <w:rPr/>
      </w:pPr>
      <w:r w:rsidRPr="&lt;w:rPr xmlns:w=&quot;http://schemas.openxmlformats.org/wordprocessingml/2006/main&quot;&gt;&lt;w:lang w:val=&quot;es-ES_tradnl&quot; /&gt;&lt;/w:rPr&gt;">
        <w:rPr/>
        <w:t xml:space="preserve">El demandante de amparo considera que ha sido vulnerado su derecho a la tutela judicial efectiva (art. 24.1 CE), en su manifestación de derecho de acceso a los recursos legalmente establecidos, pues, habiendo sido inducido a error por la propia resolución judicial en cuanto al plazo para formular el recurso de casación, el Tribunal se opuso a la admisión de la preparación del recurso de casación. Comparte esta apreciación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así, los términos del debate constitucional suscitado, debe señalarse que el asunto planteado ha sido resuelto, entre otras, por la Sentencia del Pleno de este Tribunal 241/2006, de 20 de julio. Verificado, pues, que para la resolución del presente caso es aplicable doctrina consolidada de este Tribunal, la Sala Segunda acordó deferir su resolución a esta Sección, de acuerdo con lo dispuesto en el art. 52.2 LOTC y en la disposición transitoria primera de la Ley Orgánica 6/2007, de 24 de mayo (que permite aplicar esta posibilidad a los procesos iniciados con anterioridad a la entrada en vigor de la Ley Orgánica).</w:t>
      </w:r>
    </w:p>
    <w:p w:rsidRPr="00C21FFE" w:rsidR="00F31FAF" w:rsidRDefault="00356547">
      <w:pPr>
        <w:rPr/>
      </w:pPr>
      <w:r w:rsidRPr="&lt;w:rPr xmlns:w=&quot;http://schemas.openxmlformats.org/wordprocessingml/2006/main&quot;&gt;&lt;w:lang w:val=&quot;es-ES_tradnl&quot; /&gt;&lt;/w:rPr&gt;">
        <w:rPr/>
        <w:t xml:space="preserve">El fundamento jurídico 3 de la STC 241/2006 establece como doctrina de este Tribunal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de la Ley Orgánica del Poder Judicial (LOPJ). No puede dejar de insistirse al respecto, como ya en resoluciones anteriores hemos tenido ocasión de poner de manifiesto,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w:t>
      </w:r>
    </w:p>
    <w:p w:rsidRPr="00C21FFE" w:rsidR="00F31FAF" w:rsidRDefault="00356547">
      <w:pPr>
        <w:rPr/>
      </w:pPr>
      <w:r w:rsidRPr="&lt;w:rPr xmlns:w=&quot;http://schemas.openxmlformats.org/wordprocessingml/2006/main&quot;&gt;&lt;w:lang w:val=&quot;es-ES_tradnl&quot; /&gt;&lt;/w:rPr&gt;">
        <w:rPr/>
        <w:t xml:space="preserve">“Siendo así irrelevante a los efectos que nos ocupan la concurrencia o no de efectiva asistencia letrada, la interposición de remedios procesales en atención a la noticia errónea de los mismos obrante en las resoluciones interlocutorias impide la estimación de la extemporaneidad, consecuencia de la interposición de recursos improcedentes, como motivo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se efectuó una indicación errónea de recursos en la Sentencia de la Sección Primera de la Audiencia Provincial de Toledo, de 27 de febrero de 2006, que fue seguida por el demandante de amparo con la consecuencia de que la propia Sala, en Auto de 24 de mayo de 2006, resolvió no tener por preparado el recurso de casación en razón precisamente de su presentación fuera de plazo, y que, posteriormente, la Sala Segunda del Tribunal Supremo resolviera, mediante Auto de 16 de noviembre de 2006, desestimar la queja planteada.</w:t>
      </w:r>
    </w:p>
    <w:p w:rsidRPr="00C21FFE" w:rsidR="00F31FAF" w:rsidRDefault="00356547">
      <w:pPr>
        <w:rPr/>
      </w:pPr>
      <w:r w:rsidRPr="&lt;w:rPr xmlns:w=&quot;http://schemas.openxmlformats.org/wordprocessingml/2006/main&quot;&gt;&lt;w:lang w:val=&quot;es-ES_tradnl&quot; /&gt;&lt;/w:rPr&gt;">
        <w:rPr/>
        <w:t xml:space="preserve">Todas estas circunstancias llevan a la estimación de la demanda de amparo, pues, tal y como viene subrayando nuestra doctrina, se ha producido una lesión del derecho del recurrente a la tutela judicial efectiva, en su vertiente de acceso a los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Mohamed Benabde Lilah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(art. 24.1 CE) en su vertiente de derecho de acceso al recurso.</w:t>
      </w:r>
    </w:p>
    <w:p w:rsidRPr="" w:rsidR="00F31FAF" w:rsidRDefault="00356547">
      <w:pPr>
        <w:rPr/>
      </w:pPr>
      <w:r w:rsidRPr="&lt;w:rPr xmlns:w=&quot;http://schemas.openxmlformats.org/wordprocessingml/2006/main&quot;&gt;&lt;w:szCs w:val=&quot;24&quot; /&gt;&lt;/w:rPr&gt;">
        <w:rPr/>
        <w:t xml:space="preserve">2º Restablecerlo en su derecho y, a tal fin, anular el Auto dictado el 16 de noviembre de 2006 por la Sala de lo Penal del Tribunal Supremo, desestimatorio del recurso de queja, así como el Auto de la Audiencia Provincial de Toledo (Sección Primera), de 24 de mayo de 2006, que denegó tener por preparado recurso de casación, retrotrayendo las actuaciones al momento inmediatamente anterior al del dictado de esta última resolución judicial a fin de que se dicte una nueva que se pronuncie sobre la petición del recurrente de interponer recurso de casación contra la Sentencia de 27 de febrero de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