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3329-2004,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mayo de 2004 tuvo entrada en el Registro General de este Tribunal un testimonio de actuaciones remitido por la Sección Segunda de la Audiencia Provincial de Tarragona correspondiente al rollo de apelación núm. 44-2004, del que forma parte el Auto de 12 de mayo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 la guardia urbana de Reus, se celebró en el Juzgado de Instrucción núm. 6 de dicha localidad el juicio de faltas núm. 379-2002, recayendo Sentencia el 23 de octubre de 2002 en la que se absolvió a la denunciada de la de la comisión de la falta prevista en el art. 636 CP, de la que había sido acusada por el Ministerio Fiscal.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Ministerio Fiscal, correspondiendo su conocimiento a la Sección Segunda de la Audiencia Provincial de Tarragona,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5 de mayo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Mientras que los apelados no formularon alegaciones, el Ministerio Fiscal, mediante escrito de 10 de mayo de 2004,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Pr="00C21FFE" w:rsidR="00F31FAF" w:rsidRDefault="00356547">
      <w:pPr>
        <w:rPr/>
      </w:pPr>
      <w:r w:rsidRPr="&lt;w:rPr xmlns:w=&quot;http://schemas.openxmlformats.org/wordprocessingml/2006/main&quot;&gt;&lt;w:lang w:val=&quot;es-ES_tradnl&quot; /&gt;&lt;/w:rPr&gt;">
        <w:rPr/>
        <w:t xml:space="preserve">e) El 12 de mayo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septiembre de 2004 la Sección Cuarta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Segunda,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de 2010 se señaló para deliberación y votación de la presente Sentencia el día 27 de abril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3329-2004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