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4022-2004, promovida por la Sección Séptima de la Audiencia Provincial de Barcelona,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 2004 tuvo entrada en el Registro General de este Tribunal un testimonio de actuaciones remitido por la Sección Séptima de la Audiencia Provincial de Barcelona correspondiente al rollo de apelación núm. 215-2004, del que forma parte el Auto de 25 de mayo de 2004, por medio del cual el órgano judicial acuerda plantear cuestión de inconstitucionalidad sobre la disposición final quinta de la Ley Orgánica 15/2003, de 25 de noviembre, en la medida en que no contempla la inmediata entrada en vigor de la nueva redacción del art. 636 del Código penal, que despenaliza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agente de la policía local de El Prat de Llobregat, se celebró en el Juzgado de Instrucción núm. 1 de dicha localidad el juicio de faltas núm. 367-2003, recayendo Sentencia el 9 de diciembre de 2003 en la que se condenó a don Daniel Coterillo y a doña Ana Ruiz Gómez, como responsables de la falta prevista en el art. 636 CP, a sendas penas de 39 y 90 euros de multa, al declararse probado que el 15 de julio de 2003 el primero de ellos conducía un vehículo, propiedad de la segunda y con su consentimiento, careciendo del correspondiente seguro obligatorio de responsabilidad civil.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doña Ana Ruiz Gómez, correspondiendo su conocimiento a la Sección Séptima de la Audiencia Provincial de Barcelona,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11 de marzo de 2004 acordando oír a las partes, a los efectos del art. 35 LOTC, acerca de la conveniencia de plantear cuestión de inconstitucionalidad sobre la disposición final quinta de la Ley Orgánica 15/2003, de 25 de noviembre, en cuanto impide la inmediata entrada en vigor de la nueva redacción del art. 636 CP, que despenaliza la conducta enjuiciada, lo que podría vulnerar los principios de interdicción de la arbitrariedad de los poderes públicos (art. 9 CE), de legalidad penal material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El Ministerio Fiscal, en escrito de 10 de mayo de 2003, se opuso a su planteamiento en atención a que los nuevos preceptos penales contemplados en la Ley Orgánica 15/2003, de 25 de noviembre, no habían entrado en vigor, sin que resultasen afectados los principios constitucionales invocados por el órgano judicial. No consta que la apelante formulara alegaciones en dicho trámite. </w:t>
      </w:r>
    </w:p>
    <w:p w:rsidRPr="00C21FFE" w:rsidR="00F31FAF" w:rsidRDefault="00356547">
      <w:pPr>
        <w:rPr/>
      </w:pPr>
      <w:r w:rsidRPr="&lt;w:rPr xmlns:w=&quot;http://schemas.openxmlformats.org/wordprocessingml/2006/main&quot;&gt;&lt;w:lang w:val=&quot;es-ES_tradnl&quot; /&gt;&lt;/w:rPr&gt;">
        <w:rPr/>
        <w:t xml:space="preserve">e) El 25 de mayo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aduciéndose seguidamente la incidencia de los principios de certeza, de responsabilidad por el hecho, de culpabilidad e imputación, alcanzando como conclusiones: que el legislador no puede utilizar cualquier procedimiento legislativo para castigar una conducta; que la norma sancionadora ha de estar vinculada a fines de protección constitucionalmente legítimos; que el legislador no puede describir la conducta típica sin la debida concreción; y que el legislador no puede castigar con penas o sanciones al margen de los valores de prevención especial o general y sin tomar en cuenta las exigencias de culpabilidad. </w:t>
      </w:r>
    </w:p>
    <w:p w:rsidRPr="00C21FFE" w:rsidR="00F31FAF" w:rsidRDefault="00356547">
      <w:pPr>
        <w:rPr/>
      </w:pPr>
      <w:r w:rsidRPr="&lt;w:rPr xmlns:w=&quot;http://schemas.openxmlformats.org/wordprocessingml/2006/main&quot;&gt;&lt;w:lang w:val=&quot;es-ES_tradnl&quot; /&gt;&lt;/w:rPr&gt;">
        <w:rPr/>
        <w:t xml:space="preserve">El traslado de las anteriores consideraciones -que más extensamente se desarrollan en la resolución judicial- lleva al Magistrado proponente a concluir que el legislador penal no puede seguir castigando una conducta después de que la ley promulgada la despenalice.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 CE), lesionando el derecho subjetivo de todo ciudadano a que la legalidad penal se ajuste a los mandatos constitucionales (art. 25 CE), desconociendo, además, el derecho de toda persona a no verse sometida, de manera injusta o carente de causa, a un proceso inculpatorio limitativo de su libertad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septiembre de 2004 la Sección Tercera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Segunda,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de 2010 se señaló para deliberación y votación de la presente Sentencia el día 27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Séptima de la Audiencia Provincial de Barcelona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4022-2004 planteada por la Sección Séptima de la Audiencia Provincial de Barcelona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