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6620-2004,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noviembre de 2004 tuvo entrada en el Registro General de este Tribunal un testimonio de actuaciones remitido por la Sección Segunda de la Audiencia Provincial de Tarragona correspondiente al rollo de apelación núm. 283-2004, del que forma parte el Auto de 28 de septiembre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agente de la guardia urbana de Reus, se celebró en el Juzgado de Instrucción núm. 6 de dicha localidad el juicio de faltas núm. 150-2002, recayendo Sentencia el 7 de mayo de 2003 en la que se condenó a pena de 36 euros de multa al propietario del vehículo T- -AB, don Mariano Reche Redondo, como responsable de la comisión de una falta prevista en el art. 636 CP, absolviendo al conductor del referido vehículo, don Pedro José Reche Redondo.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el Ministerio Fiscal, correspondiendo su conocimiento a la Sección Segunda de la Audiencia Provincial de Tarragona,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9 de julio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Las partes no formularon alegaciones. </w:t>
      </w:r>
    </w:p>
    <w:p w:rsidRPr="00C21FFE" w:rsidR="00F31FAF" w:rsidRDefault="00356547">
      <w:pPr>
        <w:rPr/>
      </w:pPr>
      <w:r w:rsidRPr="&lt;w:rPr xmlns:w=&quot;http://schemas.openxmlformats.org/wordprocessingml/2006/main&quot;&gt;&lt;w:lang w:val=&quot;es-ES_tradnl&quot; /&gt;&lt;/w:rPr&gt;">
        <w:rPr/>
        <w:t xml:space="preserve">e) El 28 de septiembre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configurativa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Pr="00C21FFE" w:rsidR="00F31FAF" w:rsidRDefault="00356547">
      <w:pPr>
        <w:rPr/>
      </w:pPr>
      <w:r w:rsidRPr="&lt;w:rPr xmlns:w=&quot;http://schemas.openxmlformats.org/wordprocessingml/2006/main&quot;&gt;&lt;w:lang w:val=&quot;es-ES_tradnl&quot; /&gt;&lt;/w:rPr&gt;">
        <w:rPr/>
        <w:t xml:space="preserve">Se añade que las exigencias de racionalidad ética obligan a que el legislador -una vez concluido el proceso de toma de decisión normativa y promulgada la norma destipificadora- instrumente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Pr="00C21FFE" w:rsidR="00F31FAF" w:rsidRDefault="00356547">
      <w:pPr>
        <w:rPr/>
      </w:pPr>
      <w:r w:rsidRPr="&lt;w:rPr xmlns:w=&quot;http://schemas.openxmlformats.org/wordprocessingml/2006/main&quot;&gt;&lt;w:lang w:val=&quot;es-ES_tradnl&quot; /&gt;&lt;/w:rPr&gt;">
        <w:rP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Pr="00C21FFE" w:rsidR="00F31FAF" w:rsidRDefault="00356547">
      <w:pPr>
        <w:rPr/>
      </w:pPr>
      <w:r w:rsidRPr="&lt;w:rPr xmlns:w=&quot;http://schemas.openxmlformats.org/wordprocessingml/2006/main&quot;&gt;&lt;w:lang w:val=&quot;es-ES_tradnl&quot; /&gt;&lt;/w:rPr&gt;">
        <w:rPr/>
        <w:t xml:space="preserve">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enero de 2005 la Sección Primera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7 de febrero de 2005 (núm. 32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8 de febrero de 2005 la Presidencia del Congreso de los Diputados comunicó que, aunque la Cámara no se personaría en el procedimiento ni formularía alegaciones, ponía a disposición del Tribunal las actuaciones que pudiera precisar. El 10 de febrero del mismo año el Presidente del Senado comunicó el acuerdo, de la Mesa de la Cámara, de personación en el procedimiento y de ofrecimiento de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su escrito presentado el 15 de febrero de 2005,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Finalmente, recuerda el Ministerio Fiscal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representación del Gobierno de la Nación, interpuso recurso de súplica contra la providencia de admisión a trámite de la cuestión de inconstitucionalidad, a causa de que, atendida la fecha de comisión de la falta, resultaba irrelevante para la decisión del proceso a quo que la disposición final quinta de la Ley Orgánica 15/2003 fuese conforme o contraria a la Constitución; a lo cual añadía una duda sobre el debido cumplimiento del trámite de audiencia reglado en el art. 35.2 LOTC. Dado traslado del recurso al Ministerio Fiscal, el Fiscal General del Estado formuló alegaciones el 28 de febrero de 2005, pidiendo la desestimación del recurso, lo que, efectivamente, tuvo lugar mediante el ATC 119/2005, de 15 de marzo, al tiempo que se confería al Abogado del Estado nuevo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Formuló sus alegaciones el Abogado del Estado mediante escrito presentado el 5 de abril de 2005, en el que propugna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26 de febrero de 2010 presentó escrito el Abogado del Estado, en el cual pide que se dicte auto declarando extinguida la cuestión de inconstitucionalidad,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en escrito presentado el 9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14 de abril de 2010 el Pleno acordó deferir la resolución de la presente cuestión de inconstitucionalidad a la Sala Primera,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22 de abril de 2010 se señaló para deliberación y votación de la presente Sentencia el día 27 del mismo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6620-2004 planteada por la Sección Segunda de la Audiencia Provincial de Tarragona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