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4 de julio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Eugeni Gay Montalvo, Presidente, don Francisco José Hernando Santiago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3293-2007, promovido por don José Luis Peña Domingo y don Juan José Moreno Alonso, representados por el Procurador de los Tribunales don Luis José García Barrenechea y asistidos por el Abogado don Ángel Galindo Álvarez, contra la Sentencia de 14 de marzo de 2007 de la Sección Octava de la Sala de lo Contencioso-Administrativo del Tribunal Superior de Justicia de Madrid, que desestimó el recurso de apelación interpuesto contra la Sentencia del Juzgado de lo Contencioso- Administrativo núm. 2 de Madrid de 21 de julio de 2006 recaída en el procedimiento de protección de derechos fundamentales núm. 1-2006.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José Hernando Santiago,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11 de abril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su sesión plenaria del 27 de septiembre de 2005 se dio cuenta de un acuerdo adoptado por los concejales del Grupo Municipal Popular -excluidos los señores Peña y Moreno- por el que expulsaban de dicho grupo político a los recurrentes en amparo y por el que, en consecuencia, su composición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un escrito por el que manifestaban su pretensión de constituirse en grupo mixto, designando portavoz al concejal señor Moreno y suplente al concejal señor Peña, y solicitando que se diese cuenta de ello al Pleno a efectos del cumplimiento de los requisitos necesarios para entender constituido el grupo mixto, constando en el acta de la sesión plenaria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la circular núm. 1/05, de fecha 7 de octubre de 2005, en la que se comunicaba que, habiendo dejado de pertenecer al Grupo Municipal Popular los concejales señores Peña y Moreno, los mismos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misma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planeamiento urbanístico del Ayuntamiento convocó a los concejales señore Peña y Moreno a la sesión ordinaria a celebrar el día 27 de enero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planeamiento urbanístico en la sesión celebrada el 27 de enero de 2006, por presunta vulneración de los derechos fundamentales a acceder a los cargos públicos y participar en los asuntos públicos en condiciones de igualdad (art. 23 CE). Los recurrentes rechazaban su calificación como concejales no adscritos y sostenían su derecho a estarlo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21 de julio de 2006 del Juzgado de lo Contencioso-Administrativo núm. 2 de Madrid (procedimiento de protección de derechos fundamentales núm. 1-2006). </w:t>
      </w:r>
    </w:p>
    <w:p w:rsidRPr="00C21FFE" w:rsidR="00F31FAF" w:rsidRDefault="00356547">
      <w:pPr>
        <w:rPr/>
      </w:pPr>
      <w:r w:rsidRPr="&lt;w:rPr xmlns:w=&quot;http://schemas.openxmlformats.org/wordprocessingml/2006/main&quot;&gt;&lt;w:lang w:val=&quot;es-ES_tradnl&quot; /&gt;&lt;/w:rPr&gt;">
        <w:rPr/>
        <w:t xml:space="preserve">f) Contra esta Sentencia interpusieron recurso de apelación los demandantes de amparo, que fue desestimado por Sentencia de 14 de marzo de 2007 de la Sección Octava de la Sala de lo Contencioso- Administrativo del Tribunal Superior de Justicia de Madrid (recurso de apelación núm. 59- 2007).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del art. 73.3 LBRL, contraria a su literalidad y finalidad,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 de Madrid a fin de que en el plazo de diez días remitieran certificación o copia adverada de las actuaciones respectivas, correspondientes al recurso de apelación núm. 59-2007 y al procedimiento de protección de derechos fundamentales núm. 1-2006,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 de febrero de 2011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8 de marzo de 2011 el Secretario de Justicia de la Sala Segunda de este Tribunal acordó tener por personado y parte al mencionado Procurador de los Tribunales, en nombre y representación del Ayuntamiento de Majadahonda; así como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Ayuntamiento de Majadahonda, formuló alegaciones mediante escrito registrado en este Tribunal el 7 de abril de 2011. Tras resumir los antecedentes del asunto y con cita de doctrina constitucional sobre los derechos fundamentales garantizados por el art. 23 CE, particularmente la STC 169/2009, de 9 de julio, sostiene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que se celebró el 27 de enero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el Ayuntamiento de Majadahonda sostiene que la queja referida a la pretendida lesión del derecho a la tutela judicial efectiva (art. 24.1 CE) también debe ser rechazada porque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el 8 de abril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queden en situación de concejales no adscritos y no tengan,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planeamiento urbanístico que se celebró el 27 de enero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19 de mayo de 2011. Tras resumir los antecedentes del caso, el Fiscal considera que, a la vista de la reciente STC 20/2011, de 14 de marzo, procede otorgar el amparo a los demandantes por vulneración del art. 23 CE, exclusivamente en cuanto a la convocatoria a los mismos a la comisión informativa de planeamiento urbanístico celebrada el 27 de enero de 2006, declarando su nulidad, así como la de las Sentencias impugnadas, en lo que respecta a la privación a los recurrentes del derecho a votar en la mencionada comisión informativa.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30 de junio de 2011 se señaló para deliberación y votación de la presente Sentencia el día 4 de julio de 2011,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tiene por objeto determinar si la decisión del Presidente de la comisión informativa de planeamiento urbanístico del Ayuntamiento de Majadahonda de convocar a los recurrentes a la sesión ordinaria de dicha comisión que se celebró el 27 de enero de 2006, en calidad de concejales no adscritos, con derecho a intervenir haciendo uso de la palabra pero sin voto,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Por el contrario, 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así como de las Sentencias recaídas en vía contencioso-administrativa que lo confirman, sin que proceda adoptar en el fallo de esta Sentencia una medida destinada al pleno restablecimiento del derecho vulnerado, toda vez que en la fecha en que la pronunciamos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Declarar vulnerado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Restablecerles en su derecho y, a tal fin, anular la convocatoria a la sesión ordinaria de la comisión informativa de planeamiento urbanístico del Ayuntamiento de Majadahonda que se celebró el 27 de enero de 2006, así como la Sentencia de 14 de marzo de 2007 de la Sección Octava de la Sala de lo Contencioso- Administrativo del Tribunal Superior de Justicia de Madrid (recaída en el rollo núm. 59-2007) y la Sentencia de 21 de julio de 2006 del Juzgado de lo Contencioso-Administrativo núm. 2 de Madrid (recaída en el procedimiento de protección de derechos fundamentales núm. 1-2006),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