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Juan Carrillo Jiménez, funcionario jubilado del Ayuntamiento de Villafranca de los Barros, dirigió escrito a este Tribunal Constitucional el 30 de agosto actual,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16 de septiembre,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19 de septiembre al Ministerio Fiscal y el 20 de octubre al solicitante, únicamente presentó escrito el Ministerio Fiscal, solicitando se dicte Auto de inadmisión del recurso, caso de no subsanarse en el plazo concedido los defectos que en la presentación de la demanda señala el Tribunal ; en el caso de que fueran subsanados y se admitiera a trámite se acuerde la acumulación de los recursos números 155, 156, 157, 158, 159 y 160.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la acumulación de los recursos que se siguen bajo los números 155, 156, 157, 158, 159 y 160.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JUAN CARRILO JIMÉNEZ,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