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6 de agosto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M. A. R.</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sobre suspensión del juicio oral que ha de celebrarse el próximo día 23 de septiembre ante la Sala Quinta de la Audiencia Provincial de Barcelona, 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 A. R. presenta un escrito que tiene entrada en el Tribunal Constitucional el 21 de julio de 1981, en el que solicita de éste que suspenda el juicio oral fijado por la Sala Quinta de la Audiencia Provincial de Barcelona para el próximo día 23 de septiembre en la causa contra él incoada por estafa y apropiación indebida con motivo de querella presentada por el señor Olmo.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 petición en el hecho de que han desaparecido del sumario unos documentos originales que en su día aportó y que le son vitales para la defensa. </w:t>
      </w:r>
    </w:p>
    <w:p w:rsidRPr="00C21FFE" w:rsidR="00AD51A7" w:rsidRDefault="008777C4">
      <w:pPr>
        <w:rPr/>
      </w:pPr>
      <w:r w:rsidRPr="&lt;w:rPr xmlns:w=&quot;http://schemas.openxmlformats.org/wordprocessingml/2006/main&quot;&gt;&lt;w:lang w:val=&quot;es-ES_tradnl&quot; /&gt;&lt;/w:rPr&gt;">
        <w:rPr/>
        <w:t xml:space="preserve">Entiende que ello le produce indefensión, razón por la cual solicita del Tribunal Constitucional que suspenda el juicio oral hasta tanto no aparezcan los documentos. </w:t>
      </w:r>
    </w:p>
    <w:p w:rsidRPr="00C21FFE" w:rsidR="00AD51A7" w:rsidRDefault="008777C4">
      <w:pPr>
        <w:rPr/>
      </w:pPr>
      <w:r w:rsidRPr="&lt;w:rPr xmlns:w=&quot;http://schemas.openxmlformats.org/wordprocessingml/2006/main&quot;&gt;&lt;w:lang w:val=&quot;es-ES_tradnl&quot; /&gt;&lt;/w:rPr&gt;">
        <w:rPr/>
        <w:t xml:space="preserve">Invoca los arts. 1, 9, 10, 14, 24, 25, 29, 53, 124 y 163 de la C. E.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Ninguno de tales requisitos se producen en la petición formulada por don M. A.  R., por cuanto aún no se ha producido un acto de un órgano judicial que sea definitivo y que haya producido una violación de un derecho o libertad fundamental, dado que aún no ha tenido lugar el juicio oral en cuestión, donde el solicitante podrá aducir cuanto considere oportuno en orden a la defensa de sus derechos, ni como es lógico se ha dictado Sentencia por el Tribunal ordinario, ni agotado todos los recursos utilizables dentro de la vía judicial. El Tribunal carece en consecuencia, en el momento procesal actual de la cuestión planteada, de jurisdicción para conocer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cual, la Sección ha acordado el archivo del escrito y la notificación de esta resolución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agosto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