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enero de 1982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la petición de don Vicente Camacho Escudero en situación de preso preventivo.</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Vicente Camacho Escudero presentó escrito en este Tribunal el 21 de octubre solicitando la reforma inmediata del Código Penal y Ley de Enjuiciamiento Criminal, la aceleración urgente de su proceso jurídico y juicio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18 de noviembre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LOTC. </w:t>
      </w:r>
    </w:p>
    <w:p w:rsidRPr="00C21FFE" w:rsidR="00AD51A7" w:rsidRDefault="008777C4">
      <w:pPr>
        <w:rPr/>
      </w:pPr>
      <w:r w:rsidRPr="&lt;w:rPr xmlns:w=&quot;http://schemas.openxmlformats.org/wordprocessingml/2006/main&quot;&gt;&lt;w:lang w:val=&quot;es-ES_tradnl&quot; /&gt;&lt;/w:rPr&gt;">
        <w:rPr/>
        <w:t xml:space="preserve">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3 de diciembre, ha transcurrido el plazo de diez días sin que el solicitante comparezca por medio de Abogado y Procurador, sin que tampoco haya solicitado el nombramiento del turno de oficio.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 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