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Aguilar Sánchez presentó escrito en este Tribunal el 21 de octubre solicitando la reforma inmediata del Código Penal y Ley de Enjuiciamiento Criminal, la aceleración urgente de su proceso juridico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dieciocho de noviembre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dia 10 de diciembre,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