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Campanón Suarez presentó escrito en este Tribunal el 21 de octubre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dos de diciembre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le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7 de diciembre,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