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Baez Domínguez, se dirigió a este Tribunal Constitucional en escrito que se recibió el veintiséis de Octubre del pasado año, poniendo de manifiesto que lleva en prisión preventiva mes y medio, por razón de causa penal y solicitando la reforma del Código Penal y de la Ley de Enjuiciamiento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once de Noviembre pasado que el recurrente compareciera por medio de Procurador y bajo la dirección de Abogado, tal como dispone el articulo 81.1) de la L.O.T.C. y al notificársele esta providencia, se ha hecho constar por el Juzgado de Instrucción n° 1 de Madrid que fue puesto en libertad provisional el once de Noviembre pasado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recurrente, sólo es materia propia del amparo la referente al derecho a un proceso debido sin dilaciones excesivas que generen una privación de libertad mas allá de lo que el carácter preventivo requiere en orden a la instrucción penal, pues las otras peticiones de que se proceda a una reforma legislativa, no pueden tener como destinatario a este Tribunal Constitucional, como se infiere de las competencias que asigna el articulo 22 de la L.O.T.C.. Como el recurrente ha sido puesto en libertad, el amparo deja de tener razón de ser, quedando por tanto sin contenido, lo que justifica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hecho jnérito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