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Sr. Bermejo Barquín, se dirigió a este Tribunal Constitucional en escrito que se recibió el veintiseis de Octubre del pasado año, poniendo de manifiesto que lleva en prisión preventiva ocho días, por razón de causa penal y solicitando la reforma del Código Penal y de la Ley de Enjuiciamiento Criminal, y si procede, su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acordó por providencia de nueve de Diciembre pasado que el recurrente compareciera por medio de Procurador y bajo la dirección de Abogado, tal como dispone el artículo 81.1) de la L.O.T.C. y al notificársele esta providencia, se ha hecho constar por el Juzgado de Instrucción nº once de Madrid que fue puesto en libertad provisional el once de Noviembre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distintas peticiones que ha hecho el recurrente, sólo es materia propia del amparo la referente al derecho a un proceso debido sin dilaciones excesivas que generen una privación de libertad mas allá de lo que el carácter preventivo requiere en orden a la instrucción penal, pues las otras peticiones de que se proceda a una reforma legislativa, no pueden tener como destinatario a este Tribunal Constitucional, como se infiere de las competencias que asigna el articulo 22 de la L.O.T.C. Como el recurrente ha sido puesto en libertad, el amparo deja de tener razón de ser, quedando por tanto sin contenido, lo que justifica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recurso de que se ha hecho mérito por falta de contenido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