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33</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14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recurrente Sr. López Lozano, se dirigió a este Tribunal Constitucional en escrito que se recibió el veintiuno de Octubre del pasado año, poniendo de manfiesto que lleva en prisión preventiva ciento noventa días, por razón de causa penal y solicitando la reforma del Código Penal y de la Ley de Enjuiciamiento Criminal, y si procede, su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acordó por providencia de dieciocho de Noviembre pasado que el recurrente compareciera por medio de Procurador y bajo la dirección de Abogado, tal como dispone el artículo 81.1) de la L.O.T.C. y al notificársele esta providencia, se ha hecho constar por el Juzado de Instrucción nº dos de Madrid que fue puesto en libertad provisional el cinco de Noviembre pasado.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De las distintas peticiones que ha hecho el recurrente, sólo es materia propia del amparo la referente al derecho a un proceso debido sin dilaciones excesivas que generen una privación de libertad mas allá de lo que el carácter preventivo requiere en orden a la instrucción penal, pues las otras peticiones de que se proceda a una reforma legislativa, no pueden tener como destinatario a este Tribunal Constitucional, como se infiere de las competencias que asigna el artículo 25 de la L.O.T.C. Como el recurrente ha sido puesto en libertad, el amparo deja de tener razón de ser, quedando por tanto sin contenido, lo que justifica el archivo de las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la inadmisibilidad del recurso de que se ha hecho mérito por falta de contenido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