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García Domínguez, se dirigió a este Tribunal Constitucional en escrito que se recibió el veintiuno de octubre del pasado año, poniendo de manifiesto que lleva en prisión preventiva mes y medio,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dieciseis de diciembre pasado que el recurrente compareciera por medio de Procurador y bajo la dirección de Abogado, tal como dispone el artículo 81.1) de la L.O.T.C. y al notificársele esta providencia, se ha hecho constar por el Juzgado de Instrucción n° uno de Madrid que fue puesto en libertad provisional el diecinueve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29 de la L.O.T.C. Como el recurrente ha sido puesto en libertad, el amparo deja de tener razón de ser, quedando por tanto sin contenido, lo que justifica el archivo de las actuaciones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