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Castañeira Ramirez presentó escrito en este Tribunal el día veintiuno de octubre del pasado año, solicitando la reforma inmediata del Código Penal y la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día dieciocho de noviembre último,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veintisiete de noviembre,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