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enero de 1982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recurrente Sr. Corrales Prieto, se dirigió a este Tribunal Constitucional en escrito que se recibió el veintiuno de octubre del pasado año, poniendo de manifiesto que lleva en prisión preventiva dos meses, por razón de causa penal y solicitando la reforma del Código Penal y de la Ley de Enjuiciamiento Criminal, y si procede, su libertad provisional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Se acordó por providencia de dieciseis de diciembre pasado que el recurrente compareciera por medio de Procurador y bajo la dirección de Abogado, tal como dispone el artículo 81.1) de la L.O.T.C. y al notificársele esta providencia, se ha hecho constar por el Juzgado de Instrucción nº uno de Madrid que fue puesto en libertad provisional el veinticuatro de septiembre pasado.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Único.- De las distintas peticiones que ha hecho el recurrente, sólo es materia propia del amparo la referente al derecho a un proceso debido sin dilaciones excesivas que generen una privación de libertad más allá de lo que el carácter preventivo requiere en orden a la instrucción penal, pues las otras peticiones de que se proceda a una reforma legislativa, no pueden tener como destinatario a este Tribunal Constitucional, como se infiere de las competencias que asigna el artículo 2° de la L.O.T.C. Como el recurrente ha sido puesto en libertad, el amparo deja de tener razón de ser, quedando por tanto sin contenido, lo que justifica el archivo de las actuaciones 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En su virtud, la Sección acuerda declarar la inadmisibilidad del recurso de que se ha hecho mérito por falta de contenido constitucional.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veinte de enero de mil novecientos ochenta y dos.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