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38</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20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Luis González Cabellos presentó escrito en este Tribunal el 21 de octubre pasado solicitando la reforma inmediata del Código Penal y Ley de Enjuiciamiento Criminal, la aceleración urgente de su proceso jurídico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dieciocho de noviembre acordó hacer saber al solicitante que según lo dispuesto en el art. 49.1 en relación con el 81.1 de la L.O.T.C. el amparo debe pedirse mediante demanda, con la dirección de Abogado y bajo la representación de Procurador. En su virtud se otorgó al solicitante un plazo de diez dias para que designara Abogado y Procurador que lo defienda y represente, pudiendo, asimismo, interesar de este Tribunal que se haga el nombramiento de turno de oficio. Igualmente acordó hacer saber al solicitante que una vez nombrados Abogado y Procurador, y aceptado el nombramiento por éstos se otorgará un plazo de diez dias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dia dos de diciembre ha transcurrido el plazo de diez dias sin que el solicitante comparezca por medio de Abogado y Procurador, sin que tampoco haya solicitado el nombramiento de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 todos de la L .O.T.C.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