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Ángel Rodríguez Ruiz presentó escrito en este Tribunal el 21 de octubre pasado solicitando la reforma inmediata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tres de diciembre ha transcurrido el plazo de diez días sin que el solicitan te comparezca por medio de Abogado y Procurador, sin que tampoco haya solicitado el nombramiento de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