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52</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20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Manuel Rodríguez Cancho presentó escrito en este Tribunal el 26 de octubre de 1981 solicitando la reforma inmediata del Código Penal y Ley de Enjuiciamiento Criminal, la aceleración urgente de su proceso jurídico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dieciseis de diciembre acordó hacer saber al solicitante que según lo dispuesto en el art. 49.1, en relación con el 81.1 de la Ley Orgánica del Tribunal Constitucional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 turno de oficio. Igualmente acordó hacer saber al solicitante que una vez nombrados Abogado y Procurador, y aceptado el nombramiento por éstos se otorgará un plazo de diez días para que formalicen la demanda, tal como dispone el art. 49 de la L.O.T.C. A estos efectos, si pidiere el nombramiento de oficio, podrá remitir al Tribunal Constitucional una relación circunstanciada de los hechos en que se funde el amparo y los documentos con que cuente para justificarlos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siete de los corrientes, 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80.1 todos de la L.O. T.C .</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