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José Román Pérez presentó escrito en este Tribunal el 26 de octubre de 1.981 solicitando la reforma inmediata del Código Penal y Ley de Enjuiciamiento Criminal, la aceleración urgente de su proceso juridico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estos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nueve de diciembre,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asistencia de Letrado, ni ha pedido a este Tribunal que se designen profesionales del turno de oficio. El transcurso del indicado plazo sin que se subsanara la omisión determina la inadmisión del recurso tal como dispone el art. 50.1.b)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