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Javier Rebé López presentó escrito en este Tribunal el dia veintiséis de octubre solicitando la reforma inmediata del Código Penal y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día dieciocho de noviembre del pasado año,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veintiocho de noviembre último, ha transcurrido el plazo de diez días sin que el solicitante comparezca por medio de Abogado y Procurador,sin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