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Rodríguez Armas presentó escrito en este Tribunal el veintiséis de octubre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veintiocho de noviembre,ha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