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62</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20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recurrente, Sr. Díaz Cuartero, se dirigió a este Tribunal Constitucional en escrito que se recibió el veintiséis de Octubre del pasado año, poniendo de manifiesto que lleva en prisión preventiva dos meses, por razón de causa penal y solicitando la reforma del Código Penal y de la Ley de Enjuiciamiento Criminal, y si procede, su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acordó por providencia de dieciséis de diciembre pasado que el recurrente compareciera por medio de Procurador y bajo la dirección de Abogado, tal como dispone el artículo 81.1) de la L.O.T.C., y al notificársele esta providencia, se ha hecho constar por el Juzgado de Instrucción nº uno de Madrid que fue puesto en libertad provisional el tres de diciembre pasado.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De las distintas peticiones que ha hecho el recurrente, sólo es materia propia del amparo la referente al derecho a un proceso debido sin dilaciones excesivas que generen una privación de libertad más allá de lo que el carácter preventivo requiere en orden a la instrucción penal, pues las otras peticiones de que se proceda a una reforma legislativa, no pueden tener como destinatario a este Tribunal Constitucional, como se infiere de las competencias que asigna el artículo 2º de la L.O.T.C. Como el recurrente ha sido puesto en libertad, el amparo deja de tener razón de ser, quedando por tanto sin contenido, lo que justifica el archivo de las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la inadmisibilidad del recurso de que se ha hecho mérito por falta de contenido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