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ximiliano Millán Resino presentó escrito en este Tribunal el 26 de octubre de 1.981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seis de diciembre acordó hacer saber al solicitante que según lo dispuesto en el art. 49.1, en relación con el 81.1 de la Ley Orgánica del Tribunal Constitucional, (L.O.T.C .), el amparo debe pedirse mediante demanda, con la dirección de Abogado y bajo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28 de diciembre, ha transcurrido el plazo de diez días sin que el solicitante com 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