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enero de 1982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recurrente Sr. García Martin, se dirigió a este Tribunal Constitucional en escrito que se recibió el 21 de Octubre del pasado año, poniendo de manifiesto que lleva en prisión preventiva un mes, por razón de causa penal y solicitando la reforma del Código Penal y de la Ley de Enjuiciamiento Criminal, y si procede, su libertad provisional.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Se acordó por providencia de 2 de Diciembre pasado que el recurrente compareciera por medio de Procurador y bajo la dirección de Abogado, tal como dispone el artículo 81.1 de la L.O.T.C. y al notificársele esta providencia, se ha hecho constar por el Juzgado de Instrucción nº cuatro de Madrid que fue puesto en libertad provisional el 1 de Diciembre pasado.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De las distintas peticiones que ha hecho el recurrente, sólo es materia propia del amparo la referente al derecho a un proceso debido sin dilaciones excesivas que generen una privación de libertad mas allá de lo que el carácter preventivo requiere en orden a la instrucción penal, pues las otras peticiones de que se proceda a una reforma legislativa, no pueden tener como destinatario a este Tribunal Constitucional, como se infiere de las competencias que asigna el artículo 2° de la L.O.T.C. Como el recurrente ha sido puesto en libertad, el amparo deja de tener razón de ser, quedando por tanto sin contenido, lo que justifica el archivo de las actuaciones.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su virtud, la Sección acuerda declarar la-inadmisibilidad del recurso de que se ha hecho mérito por falta de contenido constitucional.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veintiuno de enero de mil novecientos ochenta y dos.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