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Sánchez Sánchez, se dirigió a este Tribunal Constitucional en escrito gue se recibió el veintiseis de octubre del pasado año, poniendo de manifiesto que lleva en prisión preventiva cinco días,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nueve de diciembre pasado que el recurrente compareciera por medio de Procurador y bajo la dirección de Abogado, tal como dispone el artículo 81.1 de la L.O.T.C. y al notificársele esta providencia, se ha hecho constar por el Juzgado de Instrucción nº 11 de Madrid que fué puesto en libertad provisional el 14 de diciembre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mas allá de lo que el carácter preventivo requiera en orden a la instrucción penal, pues las otras peticiones de que se proceda a una reforma legislativa, no pueden tener como destinatario a este Tribunal Constitucional, como se infiere de las competencias que asigna el artículo 2º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