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3 de febrero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Miguel Ángel García Menéndez presentó escrito en este Tribunal el 26 de octubre pasado solicitando la reforma inmediata del Código Penal y Ley de Enjuiciamiento Criminal, la aceleración urgente de su proceso jurídico y juicio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día 11 de noviembre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estos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7 de enero último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febrero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